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000F06" w14:textId="624993B3" w:rsidR="0093544E" w:rsidRPr="00DF761C" w:rsidRDefault="008E318A" w:rsidP="00F47781">
      <w:pPr>
        <w:tabs>
          <w:tab w:val="left" w:pos="6237"/>
        </w:tabs>
        <w:rPr>
          <w:rFonts w:ascii="Arial" w:hAnsi="Arial" w:cs="Arial"/>
          <w:sz w:val="22"/>
          <w:szCs w:val="22"/>
        </w:rPr>
      </w:pPr>
      <w:bookmarkStart w:id="0" w:name="_GoBack"/>
      <w:bookmarkEnd w:id="0"/>
      <w:r w:rsidRPr="00DF761C">
        <w:rPr>
          <w:rFonts w:ascii="Arial" w:hAnsi="Arial" w:cs="Arial"/>
          <w:sz w:val="22"/>
          <w:szCs w:val="22"/>
        </w:rPr>
        <w:tab/>
      </w:r>
      <w:r w:rsidR="00E834B2">
        <w:rPr>
          <w:rFonts w:ascii="Arial" w:hAnsi="Arial" w:cs="Arial"/>
          <w:sz w:val="22"/>
          <w:szCs w:val="22"/>
        </w:rPr>
        <w:t>Ort, Datum</w:t>
      </w:r>
    </w:p>
    <w:p w14:paraId="1A62622D" w14:textId="77777777" w:rsidR="006D1781" w:rsidRPr="00DF761C" w:rsidRDefault="006D1781" w:rsidP="00997A4F">
      <w:pPr>
        <w:jc w:val="both"/>
        <w:rPr>
          <w:rFonts w:ascii="Arial" w:hAnsi="Arial" w:cs="Arial"/>
          <w:sz w:val="22"/>
          <w:szCs w:val="22"/>
        </w:rPr>
      </w:pPr>
    </w:p>
    <w:p w14:paraId="4B5D06E1" w14:textId="77777777" w:rsidR="004977B5" w:rsidRPr="00C047A6" w:rsidRDefault="004977B5" w:rsidP="00997A4F">
      <w:pPr>
        <w:jc w:val="both"/>
        <w:rPr>
          <w:rFonts w:ascii="Arial" w:hAnsi="Arial" w:cs="Arial"/>
          <w:sz w:val="22"/>
          <w:szCs w:val="22"/>
        </w:rPr>
      </w:pPr>
    </w:p>
    <w:p w14:paraId="4ADDB7DC" w14:textId="616E5EAC" w:rsidR="004977B5" w:rsidRPr="00DF761C" w:rsidRDefault="004977B5" w:rsidP="00C047A6">
      <w:pPr>
        <w:tabs>
          <w:tab w:val="left" w:pos="2127"/>
        </w:tabs>
        <w:spacing w:before="120"/>
        <w:jc w:val="both"/>
        <w:rPr>
          <w:rFonts w:ascii="Arial" w:hAnsi="Arial" w:cs="Arial"/>
          <w:sz w:val="22"/>
          <w:szCs w:val="22"/>
        </w:rPr>
      </w:pPr>
      <w:r w:rsidRPr="00DF761C">
        <w:rPr>
          <w:rFonts w:ascii="Arial" w:hAnsi="Arial" w:cs="Arial"/>
          <w:sz w:val="22"/>
          <w:szCs w:val="22"/>
        </w:rPr>
        <w:t>Referat:</w:t>
      </w:r>
      <w:r w:rsidR="000E77FF" w:rsidRPr="00DF761C">
        <w:rPr>
          <w:rFonts w:ascii="Arial" w:hAnsi="Arial" w:cs="Arial"/>
          <w:sz w:val="22"/>
          <w:szCs w:val="22"/>
        </w:rPr>
        <w:tab/>
      </w:r>
    </w:p>
    <w:p w14:paraId="36E34FC2" w14:textId="07D92A65" w:rsidR="004977B5" w:rsidRPr="00DF761C" w:rsidRDefault="006641D5" w:rsidP="00C047A6">
      <w:pPr>
        <w:tabs>
          <w:tab w:val="left" w:pos="2127"/>
        </w:tabs>
        <w:spacing w:before="120"/>
        <w:jc w:val="both"/>
        <w:rPr>
          <w:rFonts w:ascii="Arial" w:hAnsi="Arial" w:cs="Arial"/>
          <w:sz w:val="22"/>
          <w:szCs w:val="22"/>
        </w:rPr>
      </w:pPr>
      <w:r w:rsidRPr="00DF761C">
        <w:rPr>
          <w:rFonts w:ascii="Arial" w:hAnsi="Arial" w:cs="Arial"/>
          <w:sz w:val="22"/>
          <w:szCs w:val="22"/>
        </w:rPr>
        <w:t>B</w:t>
      </w:r>
      <w:r w:rsidR="004977B5" w:rsidRPr="00DF761C">
        <w:rPr>
          <w:rFonts w:ascii="Arial" w:hAnsi="Arial" w:cs="Arial"/>
          <w:sz w:val="22"/>
          <w:szCs w:val="22"/>
        </w:rPr>
        <w:t>earbeiter:</w:t>
      </w:r>
      <w:r w:rsidR="000E77FF" w:rsidRPr="00DF761C">
        <w:rPr>
          <w:rFonts w:ascii="Arial" w:hAnsi="Arial" w:cs="Arial"/>
          <w:sz w:val="22"/>
          <w:szCs w:val="22"/>
        </w:rPr>
        <w:tab/>
      </w:r>
    </w:p>
    <w:p w14:paraId="4977A157" w14:textId="77777777" w:rsidR="004977B5" w:rsidRPr="00C047A6" w:rsidRDefault="004977B5" w:rsidP="00D2225F">
      <w:pPr>
        <w:spacing w:before="120"/>
        <w:jc w:val="both"/>
        <w:rPr>
          <w:rFonts w:ascii="Arial" w:hAnsi="Arial" w:cs="Arial"/>
          <w:sz w:val="22"/>
          <w:szCs w:val="22"/>
        </w:rPr>
      </w:pPr>
    </w:p>
    <w:p w14:paraId="0D75549C" w14:textId="0F3E14A4" w:rsidR="006D1781" w:rsidRDefault="00FF45B0" w:rsidP="00C047A6">
      <w:pPr>
        <w:spacing w:before="120"/>
        <w:ind w:left="992" w:hanging="992"/>
        <w:jc w:val="both"/>
        <w:rPr>
          <w:rFonts w:ascii="Arial" w:hAnsi="Arial" w:cs="Arial"/>
          <w:b/>
          <w:sz w:val="22"/>
          <w:szCs w:val="22"/>
        </w:rPr>
      </w:pPr>
      <w:r>
        <w:rPr>
          <w:rFonts w:ascii="Arial" w:hAnsi="Arial" w:cs="Arial"/>
          <w:b/>
          <w:sz w:val="22"/>
          <w:szCs w:val="22"/>
        </w:rPr>
        <w:t xml:space="preserve">Vorschlag für eine </w:t>
      </w:r>
      <w:r w:rsidR="00C52752" w:rsidRPr="00C52752">
        <w:rPr>
          <w:rFonts w:ascii="Arial" w:hAnsi="Arial" w:cs="Arial"/>
          <w:b/>
          <w:sz w:val="22"/>
          <w:szCs w:val="22"/>
        </w:rPr>
        <w:t>Adaptionsverfügung für Verarbeitungsverzeichnisse</w:t>
      </w:r>
    </w:p>
    <w:p w14:paraId="693B9B84" w14:textId="77777777" w:rsidR="00C52752" w:rsidRDefault="00C52752" w:rsidP="00C047A6">
      <w:pPr>
        <w:spacing w:before="120"/>
        <w:ind w:left="992" w:hanging="992"/>
        <w:jc w:val="both"/>
        <w:rPr>
          <w:rFonts w:ascii="Arial" w:hAnsi="Arial" w:cs="Arial"/>
          <w:b/>
          <w:sz w:val="22"/>
          <w:szCs w:val="22"/>
        </w:rPr>
      </w:pPr>
    </w:p>
    <w:p w14:paraId="2ECA15A9" w14:textId="77777777" w:rsidR="00C52752" w:rsidRPr="00C52752" w:rsidRDefault="00C52752" w:rsidP="00C52752">
      <w:pPr>
        <w:spacing w:after="200" w:line="276" w:lineRule="auto"/>
        <w:rPr>
          <w:rFonts w:ascii="Arial" w:eastAsiaTheme="minorHAnsi" w:hAnsi="Arial" w:cstheme="minorBidi"/>
          <w:b/>
          <w:bCs/>
          <w:sz w:val="22"/>
          <w:szCs w:val="22"/>
          <w:lang w:eastAsia="en-US"/>
        </w:rPr>
      </w:pPr>
      <w:r w:rsidRPr="00C52752">
        <w:rPr>
          <w:rFonts w:ascii="Arial" w:eastAsiaTheme="minorHAnsi" w:hAnsi="Arial" w:cstheme="minorBidi"/>
          <w:b/>
          <w:bCs/>
          <w:sz w:val="22"/>
          <w:szCs w:val="22"/>
          <w:lang w:eastAsia="en-US"/>
        </w:rPr>
        <w:t xml:space="preserve">1. Grunddaten der Fachanwendung </w:t>
      </w:r>
    </w:p>
    <w:tbl>
      <w:tblPr>
        <w:tblStyle w:val="Tabellenraster"/>
        <w:tblW w:w="0" w:type="auto"/>
        <w:tblLook w:val="04A0" w:firstRow="1" w:lastRow="0" w:firstColumn="1" w:lastColumn="0" w:noHBand="0" w:noVBand="1"/>
      </w:tblPr>
      <w:tblGrid>
        <w:gridCol w:w="4606"/>
        <w:gridCol w:w="4606"/>
      </w:tblGrid>
      <w:tr w:rsidR="00C52752" w:rsidRPr="00C52752" w14:paraId="57117AF9" w14:textId="77777777" w:rsidTr="00D818C9">
        <w:tc>
          <w:tcPr>
            <w:tcW w:w="4606" w:type="dxa"/>
          </w:tcPr>
          <w:p w14:paraId="19ADADCB" w14:textId="77777777" w:rsidR="00C52752" w:rsidRPr="00C52752" w:rsidRDefault="00C52752" w:rsidP="00C52752">
            <w:pPr>
              <w:rPr>
                <w:b/>
                <w:bCs/>
              </w:rPr>
            </w:pPr>
            <w:r w:rsidRPr="00C52752">
              <w:rPr>
                <w:b/>
                <w:bCs/>
              </w:rPr>
              <w:t>Bezeichnung des Verfahrens/ Kurzb</w:t>
            </w:r>
            <w:r w:rsidRPr="00C52752">
              <w:rPr>
                <w:b/>
                <w:bCs/>
              </w:rPr>
              <w:t>e</w:t>
            </w:r>
            <w:r w:rsidRPr="00C52752">
              <w:rPr>
                <w:b/>
                <w:bCs/>
              </w:rPr>
              <w:t>zeichnung</w:t>
            </w:r>
          </w:p>
          <w:p w14:paraId="36F0FD78" w14:textId="77777777" w:rsidR="00C52752" w:rsidRPr="00C52752" w:rsidRDefault="00C52752" w:rsidP="00C52752">
            <w:pPr>
              <w:rPr>
                <w:b/>
                <w:bCs/>
              </w:rPr>
            </w:pPr>
          </w:p>
        </w:tc>
        <w:tc>
          <w:tcPr>
            <w:tcW w:w="4606" w:type="dxa"/>
          </w:tcPr>
          <w:p w14:paraId="5638AB53" w14:textId="77777777" w:rsidR="00C52752" w:rsidRPr="00C52752" w:rsidRDefault="00C52752" w:rsidP="00C52752">
            <w:pPr>
              <w:rPr>
                <w:b/>
                <w:bCs/>
              </w:rPr>
            </w:pPr>
          </w:p>
        </w:tc>
      </w:tr>
      <w:tr w:rsidR="00C52752" w:rsidRPr="00C52752" w14:paraId="5C53209F" w14:textId="77777777" w:rsidTr="00D818C9">
        <w:tc>
          <w:tcPr>
            <w:tcW w:w="4606" w:type="dxa"/>
          </w:tcPr>
          <w:p w14:paraId="54A78AE8" w14:textId="77777777" w:rsidR="00C52752" w:rsidRPr="00C52752" w:rsidRDefault="00C52752" w:rsidP="00C52752">
            <w:pPr>
              <w:rPr>
                <w:b/>
                <w:bCs/>
              </w:rPr>
            </w:pPr>
            <w:r w:rsidRPr="00C52752">
              <w:rPr>
                <w:b/>
                <w:bCs/>
              </w:rPr>
              <w:t>Zweckbestimmung (Aufgaben, zu deren Erfüllung die Daten verarbeitet werden)</w:t>
            </w:r>
          </w:p>
          <w:p w14:paraId="3A88C810" w14:textId="77777777" w:rsidR="00C52752" w:rsidRPr="00C52752" w:rsidRDefault="00C52752" w:rsidP="00C52752">
            <w:pPr>
              <w:rPr>
                <w:b/>
                <w:bCs/>
              </w:rPr>
            </w:pPr>
          </w:p>
        </w:tc>
        <w:tc>
          <w:tcPr>
            <w:tcW w:w="4606" w:type="dxa"/>
          </w:tcPr>
          <w:p w14:paraId="2C6FE93A" w14:textId="77777777" w:rsidR="00C52752" w:rsidRPr="00C52752" w:rsidRDefault="00C52752" w:rsidP="00C52752">
            <w:pPr>
              <w:rPr>
                <w:b/>
                <w:bCs/>
              </w:rPr>
            </w:pPr>
          </w:p>
        </w:tc>
      </w:tr>
      <w:tr w:rsidR="00C52752" w:rsidRPr="00C52752" w14:paraId="79FC6B83" w14:textId="77777777" w:rsidTr="00D818C9">
        <w:tc>
          <w:tcPr>
            <w:tcW w:w="4606" w:type="dxa"/>
          </w:tcPr>
          <w:p w14:paraId="7C1769B2" w14:textId="77777777" w:rsidR="00C52752" w:rsidRPr="00C52752" w:rsidRDefault="00C52752" w:rsidP="00C52752">
            <w:pPr>
              <w:rPr>
                <w:b/>
                <w:bCs/>
              </w:rPr>
            </w:pPr>
            <w:r w:rsidRPr="00C52752">
              <w:rPr>
                <w:b/>
                <w:bCs/>
              </w:rPr>
              <w:t>Verfahren in Betrieb seit</w:t>
            </w:r>
          </w:p>
          <w:p w14:paraId="293ECE1F" w14:textId="77777777" w:rsidR="00C52752" w:rsidRPr="00C52752" w:rsidRDefault="00C52752" w:rsidP="00C52752">
            <w:pPr>
              <w:rPr>
                <w:b/>
                <w:bCs/>
              </w:rPr>
            </w:pPr>
          </w:p>
        </w:tc>
        <w:tc>
          <w:tcPr>
            <w:tcW w:w="4606" w:type="dxa"/>
          </w:tcPr>
          <w:p w14:paraId="697649DC" w14:textId="77777777" w:rsidR="00C52752" w:rsidRPr="00C52752" w:rsidRDefault="00C52752" w:rsidP="00C52752">
            <w:pPr>
              <w:rPr>
                <w:b/>
                <w:bCs/>
              </w:rPr>
            </w:pPr>
          </w:p>
        </w:tc>
      </w:tr>
      <w:tr w:rsidR="00C52752" w:rsidRPr="00C52752" w14:paraId="5A6F0C00" w14:textId="77777777" w:rsidTr="00D818C9">
        <w:tc>
          <w:tcPr>
            <w:tcW w:w="4606" w:type="dxa"/>
          </w:tcPr>
          <w:p w14:paraId="63B584B0" w14:textId="77777777" w:rsidR="00C52752" w:rsidRPr="00C52752" w:rsidRDefault="00C52752" w:rsidP="00C52752">
            <w:pPr>
              <w:rPr>
                <w:b/>
                <w:bCs/>
              </w:rPr>
            </w:pPr>
            <w:r w:rsidRPr="00C52752">
              <w:rPr>
                <w:b/>
                <w:bCs/>
              </w:rPr>
              <w:t>Freigabe erteilt am</w:t>
            </w:r>
          </w:p>
          <w:p w14:paraId="45B036C5" w14:textId="77777777" w:rsidR="00C52752" w:rsidRPr="00C52752" w:rsidDel="007324D8" w:rsidRDefault="00C52752" w:rsidP="00C52752">
            <w:pPr>
              <w:rPr>
                <w:b/>
                <w:bCs/>
              </w:rPr>
            </w:pPr>
          </w:p>
        </w:tc>
        <w:tc>
          <w:tcPr>
            <w:tcW w:w="4606" w:type="dxa"/>
          </w:tcPr>
          <w:p w14:paraId="1431ED73" w14:textId="77777777" w:rsidR="00C52752" w:rsidRPr="00C52752" w:rsidRDefault="00C52752" w:rsidP="00C52752">
            <w:pPr>
              <w:rPr>
                <w:b/>
                <w:bCs/>
              </w:rPr>
            </w:pPr>
          </w:p>
        </w:tc>
      </w:tr>
      <w:tr w:rsidR="00C52752" w:rsidRPr="00C52752" w14:paraId="5A7E7E84" w14:textId="77777777" w:rsidTr="00D818C9">
        <w:tc>
          <w:tcPr>
            <w:tcW w:w="4606" w:type="dxa"/>
          </w:tcPr>
          <w:p w14:paraId="712C30D1" w14:textId="77777777" w:rsidR="00C52752" w:rsidRDefault="00C52752" w:rsidP="00C52752">
            <w:pPr>
              <w:rPr>
                <w:b/>
                <w:bCs/>
              </w:rPr>
            </w:pPr>
            <w:r w:rsidRPr="00C52752">
              <w:rPr>
                <w:b/>
                <w:bCs/>
              </w:rPr>
              <w:t>Auflagen</w:t>
            </w:r>
            <w:r>
              <w:rPr>
                <w:b/>
                <w:bCs/>
              </w:rPr>
              <w:t xml:space="preserve"> vorhanden:</w:t>
            </w:r>
            <w:r w:rsidRPr="00C52752">
              <w:rPr>
                <w:b/>
                <w:bCs/>
              </w:rPr>
              <w:t xml:space="preserve"> ja/nein</w:t>
            </w:r>
          </w:p>
          <w:p w14:paraId="4759B371" w14:textId="77777777" w:rsidR="00C52752" w:rsidRDefault="00C52752" w:rsidP="00C52752">
            <w:pPr>
              <w:rPr>
                <w:b/>
                <w:bCs/>
              </w:rPr>
            </w:pPr>
          </w:p>
          <w:p w14:paraId="5745D715" w14:textId="77777777" w:rsidR="00C52752" w:rsidRPr="00C52752" w:rsidRDefault="00C52752" w:rsidP="00C52752">
            <w:pPr>
              <w:rPr>
                <w:b/>
                <w:bCs/>
              </w:rPr>
            </w:pPr>
            <w:r>
              <w:rPr>
                <w:b/>
                <w:bCs/>
              </w:rPr>
              <w:t>Auflagen umgesetzt: ja/nein</w:t>
            </w:r>
          </w:p>
          <w:p w14:paraId="2D592316" w14:textId="77777777" w:rsidR="00C52752" w:rsidRPr="00C52752" w:rsidRDefault="00C52752" w:rsidP="00C52752">
            <w:pPr>
              <w:rPr>
                <w:b/>
                <w:bCs/>
              </w:rPr>
            </w:pPr>
          </w:p>
        </w:tc>
        <w:tc>
          <w:tcPr>
            <w:tcW w:w="4606" w:type="dxa"/>
          </w:tcPr>
          <w:p w14:paraId="4FA3D064" w14:textId="77777777" w:rsidR="00C52752" w:rsidRPr="00C52752" w:rsidRDefault="00C52752" w:rsidP="00C52752">
            <w:pPr>
              <w:rPr>
                <w:b/>
                <w:bCs/>
              </w:rPr>
            </w:pPr>
          </w:p>
        </w:tc>
      </w:tr>
      <w:tr w:rsidR="00C52752" w:rsidRPr="00C52752" w14:paraId="43C9A457" w14:textId="77777777" w:rsidTr="00D818C9">
        <w:tc>
          <w:tcPr>
            <w:tcW w:w="4606" w:type="dxa"/>
          </w:tcPr>
          <w:p w14:paraId="41C88743" w14:textId="77777777" w:rsidR="00C52752" w:rsidRPr="00C52752" w:rsidRDefault="00C52752" w:rsidP="00C52752">
            <w:pPr>
              <w:rPr>
                <w:b/>
                <w:bCs/>
              </w:rPr>
            </w:pPr>
            <w:r>
              <w:rPr>
                <w:b/>
                <w:bCs/>
              </w:rPr>
              <w:t xml:space="preserve">Verfahrensspezifisches </w:t>
            </w:r>
            <w:r w:rsidRPr="00C52752">
              <w:rPr>
                <w:b/>
                <w:bCs/>
              </w:rPr>
              <w:t>Sicherheitsko</w:t>
            </w:r>
            <w:r w:rsidRPr="00C52752">
              <w:rPr>
                <w:b/>
                <w:bCs/>
              </w:rPr>
              <w:t>n</w:t>
            </w:r>
            <w:r w:rsidRPr="00C52752">
              <w:rPr>
                <w:b/>
                <w:bCs/>
              </w:rPr>
              <w:t>zept vorhanden? Wenn ja, dann bitt</w:t>
            </w:r>
            <w:r>
              <w:rPr>
                <w:b/>
                <w:bCs/>
              </w:rPr>
              <w:t>e</w:t>
            </w:r>
            <w:r w:rsidRPr="00C52752">
              <w:rPr>
                <w:b/>
                <w:bCs/>
              </w:rPr>
              <w:t xml:space="preserve"> b</w:t>
            </w:r>
            <w:r w:rsidRPr="00C52752">
              <w:rPr>
                <w:b/>
                <w:bCs/>
              </w:rPr>
              <w:t>e</w:t>
            </w:r>
            <w:r w:rsidRPr="00C52752">
              <w:rPr>
                <w:b/>
                <w:bCs/>
              </w:rPr>
              <w:t>nennen</w:t>
            </w:r>
          </w:p>
        </w:tc>
        <w:tc>
          <w:tcPr>
            <w:tcW w:w="4606" w:type="dxa"/>
          </w:tcPr>
          <w:p w14:paraId="44F9F21A" w14:textId="77777777" w:rsidR="00C52752" w:rsidRPr="00C52752" w:rsidRDefault="00C52752" w:rsidP="00C52752">
            <w:pPr>
              <w:rPr>
                <w:b/>
                <w:bCs/>
              </w:rPr>
            </w:pPr>
          </w:p>
        </w:tc>
      </w:tr>
    </w:tbl>
    <w:p w14:paraId="29B26FBB" w14:textId="77777777" w:rsidR="00C52752" w:rsidRPr="00C52752" w:rsidRDefault="00C52752" w:rsidP="00C52752">
      <w:pPr>
        <w:spacing w:after="200" w:line="276" w:lineRule="auto"/>
        <w:rPr>
          <w:rFonts w:ascii="Arial" w:eastAsiaTheme="minorHAnsi" w:hAnsi="Arial" w:cstheme="minorBidi"/>
          <w:sz w:val="22"/>
          <w:szCs w:val="22"/>
          <w:lang w:eastAsia="en-US"/>
        </w:rPr>
      </w:pPr>
    </w:p>
    <w:p w14:paraId="3D750F68" w14:textId="77777777" w:rsidR="00C52752" w:rsidRPr="00C52752" w:rsidRDefault="00C52752" w:rsidP="00C52752">
      <w:pPr>
        <w:spacing w:before="240" w:after="120"/>
        <w:jc w:val="both"/>
        <w:rPr>
          <w:rFonts w:ascii="Arial" w:eastAsiaTheme="minorHAnsi" w:hAnsi="Arial" w:cstheme="minorBidi"/>
          <w:b/>
          <w:bCs/>
          <w:sz w:val="22"/>
          <w:szCs w:val="22"/>
          <w:lang w:eastAsia="en-US"/>
        </w:rPr>
      </w:pPr>
    </w:p>
    <w:p w14:paraId="4EDCE4A5" w14:textId="77777777" w:rsidR="00C52752" w:rsidRDefault="00C52752" w:rsidP="00C047A6">
      <w:pPr>
        <w:spacing w:before="120"/>
        <w:ind w:left="992" w:hanging="992"/>
        <w:jc w:val="both"/>
        <w:rPr>
          <w:rFonts w:ascii="Arial" w:hAnsi="Arial" w:cs="Arial"/>
          <w:b/>
          <w:sz w:val="22"/>
          <w:szCs w:val="22"/>
          <w:u w:val="single"/>
        </w:rPr>
      </w:pPr>
      <w:r>
        <w:rPr>
          <w:rFonts w:ascii="Arial" w:hAnsi="Arial" w:cs="Arial"/>
          <w:b/>
          <w:sz w:val="22"/>
          <w:szCs w:val="22"/>
          <w:u w:val="single"/>
        </w:rPr>
        <w:t>2. Überführung der bisher angewendeten Regelungen auf das Niveau der DS-GVO</w:t>
      </w:r>
    </w:p>
    <w:p w14:paraId="0B3C5BF2" w14:textId="77777777" w:rsidR="00C52752" w:rsidRPr="000708ED" w:rsidRDefault="00C52752" w:rsidP="000708ED">
      <w:pPr>
        <w:spacing w:before="120"/>
        <w:jc w:val="both"/>
        <w:rPr>
          <w:rFonts w:ascii="Arial" w:hAnsi="Arial" w:cs="Arial"/>
          <w:sz w:val="22"/>
          <w:szCs w:val="22"/>
        </w:rPr>
      </w:pPr>
      <w:r w:rsidRPr="000708ED">
        <w:rPr>
          <w:rFonts w:ascii="Arial" w:hAnsi="Arial" w:cs="Arial"/>
          <w:sz w:val="22"/>
          <w:szCs w:val="22"/>
        </w:rPr>
        <w:t>Auf der Grundlage des bisherigen Freigabeverfahrens war jedes automatisierte Verfahren, mit dem personenbezogene Daten verarbeitet wurden, gemäß § 34 ThürDSG und den darin dokumentierten technisch organisatorischen Maßnahmen innerhalb des Verfahrensverzeic</w:t>
      </w:r>
      <w:r w:rsidRPr="000708ED">
        <w:rPr>
          <w:rFonts w:ascii="Arial" w:hAnsi="Arial" w:cs="Arial"/>
          <w:sz w:val="22"/>
          <w:szCs w:val="22"/>
        </w:rPr>
        <w:t>h</w:t>
      </w:r>
      <w:r w:rsidRPr="000708ED">
        <w:rPr>
          <w:rFonts w:ascii="Arial" w:hAnsi="Arial" w:cs="Arial"/>
          <w:sz w:val="22"/>
          <w:szCs w:val="22"/>
        </w:rPr>
        <w:t>nisses nach §§ 9, 10 ThürDSG vor der produktiven Freischaltung einem Prüfverfahren zu unterwerfen. Dieses besteht im Wesentlichen aus dem Freigabeverfahren nach § 34 Abs. 2 ThürDSG, der Pflicht zum Führen eines Verfahrensverzeichnisses nach § 10 ThürDSG s</w:t>
      </w:r>
      <w:r w:rsidRPr="000708ED">
        <w:rPr>
          <w:rFonts w:ascii="Arial" w:hAnsi="Arial" w:cs="Arial"/>
          <w:sz w:val="22"/>
          <w:szCs w:val="22"/>
        </w:rPr>
        <w:t>o</w:t>
      </w:r>
      <w:r w:rsidRPr="000708ED">
        <w:rPr>
          <w:rFonts w:ascii="Arial" w:hAnsi="Arial" w:cs="Arial"/>
          <w:sz w:val="22"/>
          <w:szCs w:val="22"/>
        </w:rPr>
        <w:t>wie der Sicherstellung des Datenschutzes durch geeignete technische und organisatorische Maßnahmen, § 9 ThürDSG. Zweck der datenschutzrechtlichen Freigabe ist die Vorabkontro</w:t>
      </w:r>
      <w:r w:rsidRPr="000708ED">
        <w:rPr>
          <w:rFonts w:ascii="Arial" w:hAnsi="Arial" w:cs="Arial"/>
          <w:sz w:val="22"/>
          <w:szCs w:val="22"/>
        </w:rPr>
        <w:t>l</w:t>
      </w:r>
      <w:r w:rsidRPr="000708ED">
        <w:rPr>
          <w:rFonts w:ascii="Arial" w:hAnsi="Arial" w:cs="Arial"/>
          <w:sz w:val="22"/>
          <w:szCs w:val="22"/>
        </w:rPr>
        <w:t>le der Zulässigkeit der automatisierten Verarbeitung personenbezogener Daten. Durch g</w:t>
      </w:r>
      <w:r w:rsidRPr="000708ED">
        <w:rPr>
          <w:rFonts w:ascii="Arial" w:hAnsi="Arial" w:cs="Arial"/>
          <w:sz w:val="22"/>
          <w:szCs w:val="22"/>
        </w:rPr>
        <w:t>e</w:t>
      </w:r>
      <w:r w:rsidRPr="000708ED">
        <w:rPr>
          <w:rFonts w:ascii="Arial" w:hAnsi="Arial" w:cs="Arial"/>
          <w:sz w:val="22"/>
          <w:szCs w:val="22"/>
        </w:rPr>
        <w:t>eignete organisatorische Regelungen ist sicherzustellen, dass automatisierte Verfahren erst nach der vorherigen schriftlichen Freigabe zum Einsatz gelangen. Im Rahmen eines solchen Freigabeverfahrens wurde regelmäßig ein Verfahrensverzeichnis erstellt. Dieses wurde g</w:t>
      </w:r>
      <w:r w:rsidRPr="000708ED">
        <w:rPr>
          <w:rFonts w:ascii="Arial" w:hAnsi="Arial" w:cs="Arial"/>
          <w:sz w:val="22"/>
          <w:szCs w:val="22"/>
        </w:rPr>
        <w:t>e</w:t>
      </w:r>
      <w:r w:rsidRPr="000708ED">
        <w:rPr>
          <w:rFonts w:ascii="Arial" w:hAnsi="Arial" w:cs="Arial"/>
          <w:sz w:val="22"/>
          <w:szCs w:val="22"/>
        </w:rPr>
        <w:t>gebenenfalls ergänzt durch IT Sicherheitskonzepte, Rechte-Rollenkonzepte und Diensta</w:t>
      </w:r>
      <w:r w:rsidRPr="000708ED">
        <w:rPr>
          <w:rFonts w:ascii="Arial" w:hAnsi="Arial" w:cs="Arial"/>
          <w:sz w:val="22"/>
          <w:szCs w:val="22"/>
        </w:rPr>
        <w:t>n</w:t>
      </w:r>
      <w:r w:rsidRPr="000708ED">
        <w:rPr>
          <w:rFonts w:ascii="Arial" w:hAnsi="Arial" w:cs="Arial"/>
          <w:sz w:val="22"/>
          <w:szCs w:val="22"/>
        </w:rPr>
        <w:t>weisungen.</w:t>
      </w:r>
    </w:p>
    <w:p w14:paraId="25A009C3" w14:textId="48DA8A02" w:rsidR="00C52752" w:rsidRDefault="00C52752" w:rsidP="000E6953">
      <w:pPr>
        <w:spacing w:before="120"/>
        <w:jc w:val="both"/>
        <w:rPr>
          <w:rFonts w:ascii="Arial" w:hAnsi="Arial" w:cs="Arial"/>
          <w:sz w:val="22"/>
          <w:szCs w:val="22"/>
        </w:rPr>
      </w:pPr>
      <w:r w:rsidRPr="000708ED">
        <w:rPr>
          <w:rFonts w:ascii="Arial" w:hAnsi="Arial" w:cs="Arial"/>
          <w:sz w:val="22"/>
          <w:szCs w:val="22"/>
        </w:rPr>
        <w:t>Als Mindestvoraussetzung für die datenschutzrechtliche Dokumentation hat der für die aut</w:t>
      </w:r>
      <w:r w:rsidRPr="000708ED">
        <w:rPr>
          <w:rFonts w:ascii="Arial" w:hAnsi="Arial" w:cs="Arial"/>
          <w:sz w:val="22"/>
          <w:szCs w:val="22"/>
        </w:rPr>
        <w:t>o</w:t>
      </w:r>
      <w:r w:rsidRPr="000708ED">
        <w:rPr>
          <w:rFonts w:ascii="Arial" w:hAnsi="Arial" w:cs="Arial"/>
          <w:sz w:val="22"/>
          <w:szCs w:val="22"/>
        </w:rPr>
        <w:t>matisierte Verarbeitung unmittelbar verantwortliche Leiter der Organisationseinheit das Formblatt für den Eintrag in das Verfahrensverzeichnis nach § 10 ThürDSG zu erstellen (Hinweise des Thüringer Innenministeriums zum Thüringer Datenschutzgesetz - ThürDSG - vom 07. Februar 2003). Anträge auf Freigabe sind von der Organisationseinheit, die den Einsatz des automatisierten Verfahrens beabsichtigt, unter Einhaltung des Dienstweges dem fachlich zuständige</w:t>
      </w:r>
      <w:r w:rsidR="0000692B">
        <w:rPr>
          <w:rFonts w:ascii="Arial" w:hAnsi="Arial" w:cs="Arial"/>
          <w:sz w:val="22"/>
          <w:szCs w:val="22"/>
        </w:rPr>
        <w:t xml:space="preserve">n Leiter der Dienststelle oder einem von ihm Beauftragten </w:t>
      </w:r>
      <w:r w:rsidRPr="000708ED">
        <w:rPr>
          <w:rFonts w:ascii="Arial" w:hAnsi="Arial" w:cs="Arial"/>
          <w:sz w:val="22"/>
          <w:szCs w:val="22"/>
        </w:rPr>
        <w:t>zur Entsche</w:t>
      </w:r>
      <w:r w:rsidRPr="000708ED">
        <w:rPr>
          <w:rFonts w:ascii="Arial" w:hAnsi="Arial" w:cs="Arial"/>
          <w:sz w:val="22"/>
          <w:szCs w:val="22"/>
        </w:rPr>
        <w:t>i</w:t>
      </w:r>
      <w:r w:rsidRPr="000708ED">
        <w:rPr>
          <w:rFonts w:ascii="Arial" w:hAnsi="Arial" w:cs="Arial"/>
          <w:sz w:val="22"/>
          <w:szCs w:val="22"/>
        </w:rPr>
        <w:lastRenderedPageBreak/>
        <w:t xml:space="preserve">dung vorzulegen. Dem Antrag sind die Formblätter zum Verfahrensverzeichnis sowie ein Vermerk, der die Beteiligung der verantwortlichen </w:t>
      </w:r>
      <w:r w:rsidR="0000692B">
        <w:rPr>
          <w:rFonts w:ascii="Arial" w:hAnsi="Arial" w:cs="Arial"/>
          <w:sz w:val="22"/>
          <w:szCs w:val="22"/>
        </w:rPr>
        <w:t xml:space="preserve">Organisationseinheiten </w:t>
      </w:r>
      <w:r w:rsidRPr="000708ED">
        <w:rPr>
          <w:rFonts w:ascii="Arial" w:hAnsi="Arial" w:cs="Arial"/>
          <w:sz w:val="22"/>
          <w:szCs w:val="22"/>
        </w:rPr>
        <w:t xml:space="preserve"> und hier insb</w:t>
      </w:r>
      <w:r w:rsidRPr="000708ED">
        <w:rPr>
          <w:rFonts w:ascii="Arial" w:hAnsi="Arial" w:cs="Arial"/>
          <w:sz w:val="22"/>
          <w:szCs w:val="22"/>
        </w:rPr>
        <w:t>e</w:t>
      </w:r>
      <w:r w:rsidRPr="000708ED">
        <w:rPr>
          <w:rFonts w:ascii="Arial" w:hAnsi="Arial" w:cs="Arial"/>
          <w:sz w:val="22"/>
          <w:szCs w:val="22"/>
        </w:rPr>
        <w:t>sondere die Beteiligung des für die Behörde bestellten internen Beauftragten für den Date</w:t>
      </w:r>
      <w:r w:rsidRPr="000708ED">
        <w:rPr>
          <w:rFonts w:ascii="Arial" w:hAnsi="Arial" w:cs="Arial"/>
          <w:sz w:val="22"/>
          <w:szCs w:val="22"/>
        </w:rPr>
        <w:t>n</w:t>
      </w:r>
      <w:r w:rsidRPr="000708ED">
        <w:rPr>
          <w:rFonts w:ascii="Arial" w:hAnsi="Arial" w:cs="Arial"/>
          <w:sz w:val="22"/>
          <w:szCs w:val="22"/>
        </w:rPr>
        <w:t>schutz an der Vorbereitung der Entscheidung ausweist, beizufügen. Die Freigabeentsche</w:t>
      </w:r>
      <w:r w:rsidRPr="000708ED">
        <w:rPr>
          <w:rFonts w:ascii="Arial" w:hAnsi="Arial" w:cs="Arial"/>
          <w:sz w:val="22"/>
          <w:szCs w:val="22"/>
        </w:rPr>
        <w:t>i</w:t>
      </w:r>
      <w:r w:rsidRPr="000708ED">
        <w:rPr>
          <w:rFonts w:ascii="Arial" w:hAnsi="Arial" w:cs="Arial"/>
          <w:sz w:val="22"/>
          <w:szCs w:val="22"/>
        </w:rPr>
        <w:t>dung ist der das Verfahren betreibenden Organisationseinheit zur Kenntnis zu geben, der Beauftragte für den Datenschutz erhält die Formblätter zur Aufnahme in das von ihm gefüh</w:t>
      </w:r>
      <w:r w:rsidRPr="000708ED">
        <w:rPr>
          <w:rFonts w:ascii="Arial" w:hAnsi="Arial" w:cs="Arial"/>
          <w:sz w:val="22"/>
          <w:szCs w:val="22"/>
        </w:rPr>
        <w:t>r</w:t>
      </w:r>
      <w:r w:rsidRPr="000708ED">
        <w:rPr>
          <w:rFonts w:ascii="Arial" w:hAnsi="Arial" w:cs="Arial"/>
          <w:sz w:val="22"/>
          <w:szCs w:val="22"/>
        </w:rPr>
        <w:t>te Verfahrensverzeichnis.</w:t>
      </w:r>
    </w:p>
    <w:p w14:paraId="07A3562F" w14:textId="77777777" w:rsidR="008A21D3" w:rsidRDefault="008A21D3" w:rsidP="000708ED">
      <w:pPr>
        <w:spacing w:before="120"/>
        <w:jc w:val="both"/>
        <w:rPr>
          <w:rFonts w:ascii="Arial" w:hAnsi="Arial" w:cs="Arial"/>
          <w:sz w:val="22"/>
          <w:szCs w:val="22"/>
        </w:rPr>
      </w:pPr>
    </w:p>
    <w:p w14:paraId="202E0279" w14:textId="02ED4E6A" w:rsidR="008A21D3" w:rsidRDefault="008A21D3" w:rsidP="000708ED">
      <w:pPr>
        <w:spacing w:before="120"/>
        <w:jc w:val="both"/>
        <w:rPr>
          <w:rFonts w:ascii="Arial" w:hAnsi="Arial" w:cs="Arial"/>
          <w:b/>
          <w:sz w:val="22"/>
          <w:szCs w:val="22"/>
        </w:rPr>
      </w:pPr>
      <w:r w:rsidRPr="008A21D3">
        <w:rPr>
          <w:rFonts w:ascii="Arial" w:hAnsi="Arial" w:cs="Arial"/>
          <w:b/>
          <w:sz w:val="22"/>
          <w:szCs w:val="22"/>
        </w:rPr>
        <w:t>2.1 Freigabeverfahren („Datenschutz</w:t>
      </w:r>
      <w:r w:rsidR="0000692B">
        <w:rPr>
          <w:rFonts w:ascii="Arial" w:hAnsi="Arial" w:cs="Arial"/>
          <w:b/>
          <w:sz w:val="22"/>
          <w:szCs w:val="22"/>
        </w:rPr>
        <w:t>-F</w:t>
      </w:r>
      <w:r w:rsidRPr="008A21D3">
        <w:rPr>
          <w:rFonts w:ascii="Arial" w:hAnsi="Arial" w:cs="Arial"/>
          <w:b/>
          <w:sz w:val="22"/>
          <w:szCs w:val="22"/>
        </w:rPr>
        <w:t>olge</w:t>
      </w:r>
      <w:r w:rsidR="0000692B">
        <w:rPr>
          <w:rFonts w:ascii="Arial" w:hAnsi="Arial" w:cs="Arial"/>
          <w:b/>
          <w:sz w:val="22"/>
          <w:szCs w:val="22"/>
        </w:rPr>
        <w:t>n</w:t>
      </w:r>
      <w:r w:rsidRPr="008A21D3">
        <w:rPr>
          <w:rFonts w:ascii="Arial" w:hAnsi="Arial" w:cs="Arial"/>
          <w:b/>
          <w:sz w:val="22"/>
          <w:szCs w:val="22"/>
        </w:rPr>
        <w:t>abschätzung“), Verfahrensverzeichnis, technische und organisatorische Maßnahmen in der Praxis  der __________ (öffentl</w:t>
      </w:r>
      <w:r w:rsidRPr="008A21D3">
        <w:rPr>
          <w:rFonts w:ascii="Arial" w:hAnsi="Arial" w:cs="Arial"/>
          <w:b/>
          <w:sz w:val="22"/>
          <w:szCs w:val="22"/>
        </w:rPr>
        <w:t>i</w:t>
      </w:r>
      <w:r w:rsidRPr="008A21D3">
        <w:rPr>
          <w:rFonts w:ascii="Arial" w:hAnsi="Arial" w:cs="Arial"/>
          <w:b/>
          <w:sz w:val="22"/>
          <w:szCs w:val="22"/>
        </w:rPr>
        <w:t>che Stelle eintragen) bis zum 25. Mai 2018</w:t>
      </w:r>
    </w:p>
    <w:p w14:paraId="202194AE" w14:textId="77777777" w:rsidR="008A21D3" w:rsidRDefault="008A21D3" w:rsidP="000708ED">
      <w:pPr>
        <w:spacing w:before="120"/>
        <w:jc w:val="both"/>
        <w:rPr>
          <w:rFonts w:ascii="Arial" w:hAnsi="Arial" w:cs="Arial"/>
          <w:b/>
          <w:sz w:val="22"/>
          <w:szCs w:val="22"/>
        </w:rPr>
      </w:pPr>
    </w:p>
    <w:p w14:paraId="43519DF2" w14:textId="77777777" w:rsidR="008A21D3" w:rsidRDefault="008A21D3" w:rsidP="000708ED">
      <w:pPr>
        <w:spacing w:before="120"/>
        <w:jc w:val="both"/>
        <w:rPr>
          <w:rFonts w:ascii="Arial" w:hAnsi="Arial" w:cs="Arial"/>
          <w:sz w:val="22"/>
          <w:szCs w:val="22"/>
        </w:rPr>
      </w:pPr>
      <w:r>
        <w:rPr>
          <w:rFonts w:ascii="Arial" w:hAnsi="Arial" w:cs="Arial"/>
          <w:sz w:val="22"/>
          <w:szCs w:val="22"/>
        </w:rPr>
        <w:t xml:space="preserve">Bei der ______________(öffentliche Stelle eintragen) ist bereits vor der Geltung der der Verordnung (EU) 2016/679 des Europäischen Parlaments und des Rates vom 27. April 2016 zum Schutz natürlicher Personen bei der Verarbeitung personenbezogener Daten zum freien Datenverkehr und zur Aufhebung der Richtlinie 95/46/EG (Datenschutzgrundverordnung – DS-GVO) </w:t>
      </w:r>
      <w:r w:rsidRPr="008A21D3">
        <w:rPr>
          <w:rFonts w:ascii="Arial" w:hAnsi="Arial" w:cs="Arial"/>
          <w:sz w:val="22"/>
          <w:szCs w:val="22"/>
        </w:rPr>
        <w:t>(ABl. L 119 vom 4.5.2016, S. 1; L 314 vom 22.11.2016, S. 72)</w:t>
      </w:r>
      <w:r>
        <w:rPr>
          <w:rFonts w:ascii="Arial" w:hAnsi="Arial" w:cs="Arial"/>
          <w:sz w:val="22"/>
          <w:szCs w:val="22"/>
        </w:rPr>
        <w:t xml:space="preserve"> für die automatisie</w:t>
      </w:r>
      <w:r>
        <w:rPr>
          <w:rFonts w:ascii="Arial" w:hAnsi="Arial" w:cs="Arial"/>
          <w:sz w:val="22"/>
          <w:szCs w:val="22"/>
        </w:rPr>
        <w:t>r</w:t>
      </w:r>
      <w:r>
        <w:rPr>
          <w:rFonts w:ascii="Arial" w:hAnsi="Arial" w:cs="Arial"/>
          <w:sz w:val="22"/>
          <w:szCs w:val="22"/>
        </w:rPr>
        <w:t xml:space="preserve">te Verarbeitung von Daten sowie die Verarbeitung personenbezogener Daten in Akten durch </w:t>
      </w:r>
    </w:p>
    <w:p w14:paraId="2D251260" w14:textId="77777777" w:rsidR="008A21D3" w:rsidRDefault="008A21D3" w:rsidP="000708ED">
      <w:pPr>
        <w:spacing w:before="120"/>
        <w:jc w:val="both"/>
        <w:rPr>
          <w:rFonts w:ascii="Arial" w:hAnsi="Arial" w:cs="Arial"/>
          <w:sz w:val="22"/>
          <w:szCs w:val="22"/>
        </w:rPr>
      </w:pPr>
    </w:p>
    <w:p w14:paraId="023EAEF7" w14:textId="64E5EA42" w:rsidR="008A21D3" w:rsidRDefault="008A21D3" w:rsidP="008A21D3">
      <w:pPr>
        <w:pStyle w:val="Listenabsatz"/>
        <w:numPr>
          <w:ilvl w:val="0"/>
          <w:numId w:val="2"/>
        </w:numPr>
        <w:spacing w:before="120"/>
        <w:jc w:val="both"/>
        <w:rPr>
          <w:rFonts w:ascii="Arial" w:hAnsi="Arial" w:cs="Arial"/>
          <w:sz w:val="22"/>
          <w:szCs w:val="22"/>
        </w:rPr>
      </w:pPr>
      <w:r>
        <w:rPr>
          <w:rFonts w:ascii="Arial" w:hAnsi="Arial" w:cs="Arial"/>
          <w:sz w:val="22"/>
          <w:szCs w:val="22"/>
        </w:rPr>
        <w:t xml:space="preserve">Hier die relevanten </w:t>
      </w:r>
      <w:r w:rsidR="0000692B">
        <w:rPr>
          <w:rFonts w:ascii="Arial" w:hAnsi="Arial" w:cs="Arial"/>
          <w:sz w:val="22"/>
          <w:szCs w:val="22"/>
        </w:rPr>
        <w:t>G</w:t>
      </w:r>
      <w:r>
        <w:rPr>
          <w:rFonts w:ascii="Arial" w:hAnsi="Arial" w:cs="Arial"/>
          <w:sz w:val="22"/>
          <w:szCs w:val="22"/>
        </w:rPr>
        <w:t>rundlagen</w:t>
      </w:r>
      <w:r w:rsidR="0000692B">
        <w:rPr>
          <w:rFonts w:ascii="Arial" w:hAnsi="Arial" w:cs="Arial"/>
          <w:sz w:val="22"/>
          <w:szCs w:val="22"/>
        </w:rPr>
        <w:t xml:space="preserve"> der Datenverarbeitung</w:t>
      </w:r>
      <w:r>
        <w:rPr>
          <w:rFonts w:ascii="Arial" w:hAnsi="Arial" w:cs="Arial"/>
          <w:sz w:val="22"/>
          <w:szCs w:val="22"/>
        </w:rPr>
        <w:t xml:space="preserve"> (</w:t>
      </w:r>
      <w:r w:rsidR="0000692B">
        <w:rPr>
          <w:rFonts w:ascii="Arial" w:hAnsi="Arial" w:cs="Arial"/>
          <w:sz w:val="22"/>
          <w:szCs w:val="22"/>
        </w:rPr>
        <w:t xml:space="preserve">z. B. </w:t>
      </w:r>
      <w:r>
        <w:rPr>
          <w:rFonts w:ascii="Arial" w:hAnsi="Arial" w:cs="Arial"/>
          <w:sz w:val="22"/>
          <w:szCs w:val="22"/>
        </w:rPr>
        <w:t>Dienstanweisungen, Richtlinien, Konzepte, Dienstvereinbarungen, Beschreibungen, Sicherheitsanalysen, etc.) aufführen</w:t>
      </w:r>
      <w:r w:rsidR="00FF45B0">
        <w:rPr>
          <w:rFonts w:ascii="Arial" w:hAnsi="Arial" w:cs="Arial"/>
          <w:sz w:val="22"/>
          <w:szCs w:val="22"/>
        </w:rPr>
        <w:t>.</w:t>
      </w:r>
    </w:p>
    <w:p w14:paraId="39CAF526" w14:textId="77777777" w:rsidR="008A21D3" w:rsidRDefault="008A21D3" w:rsidP="008A21D3">
      <w:pPr>
        <w:spacing w:before="120"/>
        <w:jc w:val="both"/>
        <w:rPr>
          <w:rFonts w:ascii="Arial" w:hAnsi="Arial" w:cs="Arial"/>
          <w:sz w:val="22"/>
          <w:szCs w:val="22"/>
        </w:rPr>
      </w:pPr>
    </w:p>
    <w:p w14:paraId="3A2B8E38" w14:textId="77777777" w:rsidR="008A21D3" w:rsidRDefault="008A21D3" w:rsidP="008A21D3">
      <w:pPr>
        <w:spacing w:before="120"/>
        <w:jc w:val="both"/>
        <w:rPr>
          <w:rFonts w:ascii="Arial" w:hAnsi="Arial" w:cs="Arial"/>
          <w:sz w:val="22"/>
          <w:szCs w:val="22"/>
        </w:rPr>
      </w:pPr>
      <w:r>
        <w:rPr>
          <w:rFonts w:ascii="Arial" w:hAnsi="Arial" w:cs="Arial"/>
          <w:sz w:val="22"/>
          <w:szCs w:val="22"/>
        </w:rPr>
        <w:t xml:space="preserve">ein qualifiziertes datenschutzrechtliches </w:t>
      </w:r>
      <w:r w:rsidR="00060DA7">
        <w:rPr>
          <w:rFonts w:ascii="Arial" w:hAnsi="Arial" w:cs="Arial"/>
          <w:sz w:val="22"/>
          <w:szCs w:val="22"/>
        </w:rPr>
        <w:t>und informationssicherheitstechnisches Freigab</w:t>
      </w:r>
      <w:r w:rsidR="00060DA7">
        <w:rPr>
          <w:rFonts w:ascii="Arial" w:hAnsi="Arial" w:cs="Arial"/>
          <w:sz w:val="22"/>
          <w:szCs w:val="22"/>
        </w:rPr>
        <w:t>e</w:t>
      </w:r>
      <w:r w:rsidR="00060DA7">
        <w:rPr>
          <w:rFonts w:ascii="Arial" w:hAnsi="Arial" w:cs="Arial"/>
          <w:sz w:val="22"/>
          <w:szCs w:val="22"/>
        </w:rPr>
        <w:t>verfahren etabliert worden.</w:t>
      </w:r>
    </w:p>
    <w:p w14:paraId="33FBDBE7" w14:textId="77777777" w:rsidR="00060DA7" w:rsidRDefault="00060DA7" w:rsidP="008A21D3">
      <w:pPr>
        <w:spacing w:before="120"/>
        <w:jc w:val="both"/>
        <w:rPr>
          <w:rFonts w:ascii="Arial" w:hAnsi="Arial" w:cs="Arial"/>
          <w:sz w:val="22"/>
          <w:szCs w:val="22"/>
        </w:rPr>
      </w:pPr>
      <w:r>
        <w:rPr>
          <w:rFonts w:ascii="Arial" w:hAnsi="Arial" w:cs="Arial"/>
          <w:sz w:val="22"/>
          <w:szCs w:val="22"/>
        </w:rPr>
        <w:t>Ein angemessenes Maß an Sicherheit bei der Einführung der Verfahren gewährleisten dabei insbesondere die folgenden Maßnahmen</w:t>
      </w:r>
      <w:r w:rsidR="00FF45B0">
        <w:rPr>
          <w:rFonts w:ascii="Arial" w:hAnsi="Arial" w:cs="Arial"/>
          <w:sz w:val="22"/>
          <w:szCs w:val="22"/>
        </w:rPr>
        <w:t xml:space="preserve"> (sofern sie nicht bereits unter dem ersten Spiege</w:t>
      </w:r>
      <w:r w:rsidR="00FF45B0">
        <w:rPr>
          <w:rFonts w:ascii="Arial" w:hAnsi="Arial" w:cs="Arial"/>
          <w:sz w:val="22"/>
          <w:szCs w:val="22"/>
        </w:rPr>
        <w:t>l</w:t>
      </w:r>
      <w:r w:rsidR="00FF45B0">
        <w:rPr>
          <w:rFonts w:ascii="Arial" w:hAnsi="Arial" w:cs="Arial"/>
          <w:sz w:val="22"/>
          <w:szCs w:val="22"/>
        </w:rPr>
        <w:t>strich dargestellt worden sind):</w:t>
      </w:r>
      <w:r>
        <w:rPr>
          <w:rFonts w:ascii="Arial" w:hAnsi="Arial" w:cs="Arial"/>
          <w:sz w:val="22"/>
          <w:szCs w:val="22"/>
        </w:rPr>
        <w:t xml:space="preserve"> </w:t>
      </w:r>
    </w:p>
    <w:p w14:paraId="602FF36D" w14:textId="77777777" w:rsidR="00060DA7" w:rsidRDefault="00060DA7" w:rsidP="008A21D3">
      <w:pPr>
        <w:spacing w:before="120"/>
        <w:jc w:val="both"/>
        <w:rPr>
          <w:rFonts w:ascii="Arial" w:hAnsi="Arial" w:cs="Arial"/>
          <w:sz w:val="22"/>
          <w:szCs w:val="22"/>
        </w:rPr>
      </w:pPr>
    </w:p>
    <w:p w14:paraId="2A9A7384" w14:textId="6358D732" w:rsidR="00060DA7" w:rsidRPr="00060DA7" w:rsidRDefault="00060DA7" w:rsidP="00060DA7">
      <w:pPr>
        <w:pStyle w:val="Listenabsatz"/>
        <w:numPr>
          <w:ilvl w:val="0"/>
          <w:numId w:val="2"/>
        </w:numPr>
        <w:spacing w:before="120"/>
        <w:jc w:val="both"/>
        <w:rPr>
          <w:rFonts w:ascii="Arial" w:hAnsi="Arial" w:cs="Arial"/>
          <w:sz w:val="22"/>
          <w:szCs w:val="22"/>
        </w:rPr>
      </w:pPr>
      <w:r>
        <w:rPr>
          <w:rFonts w:ascii="Arial" w:hAnsi="Arial" w:cs="Arial"/>
          <w:sz w:val="22"/>
          <w:szCs w:val="22"/>
        </w:rPr>
        <w:t xml:space="preserve">Abstellen auf die / Einfügen der Regelungen aus den </w:t>
      </w:r>
      <w:r w:rsidRPr="00060DA7">
        <w:rPr>
          <w:rFonts w:ascii="Arial" w:hAnsi="Arial" w:cs="Arial"/>
          <w:sz w:val="22"/>
          <w:szCs w:val="22"/>
        </w:rPr>
        <w:t xml:space="preserve">relevanten </w:t>
      </w:r>
      <w:r w:rsidR="0000692B">
        <w:rPr>
          <w:rFonts w:ascii="Arial" w:hAnsi="Arial" w:cs="Arial"/>
          <w:sz w:val="22"/>
          <w:szCs w:val="22"/>
        </w:rPr>
        <w:t>G</w:t>
      </w:r>
      <w:r w:rsidRPr="00060DA7">
        <w:rPr>
          <w:rFonts w:ascii="Arial" w:hAnsi="Arial" w:cs="Arial"/>
          <w:sz w:val="22"/>
          <w:szCs w:val="22"/>
        </w:rPr>
        <w:t>rundlagen</w:t>
      </w:r>
      <w:r w:rsidR="0000692B">
        <w:rPr>
          <w:rFonts w:ascii="Arial" w:hAnsi="Arial" w:cs="Arial"/>
          <w:sz w:val="22"/>
          <w:szCs w:val="22"/>
        </w:rPr>
        <w:t xml:space="preserve"> der D</w:t>
      </w:r>
      <w:r w:rsidR="0000692B">
        <w:rPr>
          <w:rFonts w:ascii="Arial" w:hAnsi="Arial" w:cs="Arial"/>
          <w:sz w:val="22"/>
          <w:szCs w:val="22"/>
        </w:rPr>
        <w:t>a</w:t>
      </w:r>
      <w:r w:rsidR="0000692B">
        <w:rPr>
          <w:rFonts w:ascii="Arial" w:hAnsi="Arial" w:cs="Arial"/>
          <w:sz w:val="22"/>
          <w:szCs w:val="22"/>
        </w:rPr>
        <w:t>tenverarbeitung</w:t>
      </w:r>
      <w:r w:rsidRPr="00060DA7">
        <w:rPr>
          <w:rFonts w:ascii="Arial" w:hAnsi="Arial" w:cs="Arial"/>
          <w:sz w:val="22"/>
          <w:szCs w:val="22"/>
        </w:rPr>
        <w:t xml:space="preserve"> (</w:t>
      </w:r>
      <w:r w:rsidR="0000692B">
        <w:rPr>
          <w:rFonts w:ascii="Arial" w:hAnsi="Arial" w:cs="Arial"/>
          <w:sz w:val="22"/>
          <w:szCs w:val="22"/>
        </w:rPr>
        <w:t xml:space="preserve">z. B. </w:t>
      </w:r>
      <w:r w:rsidRPr="00060DA7">
        <w:rPr>
          <w:rFonts w:ascii="Arial" w:hAnsi="Arial" w:cs="Arial"/>
          <w:sz w:val="22"/>
          <w:szCs w:val="22"/>
        </w:rPr>
        <w:t>Dienstanweisungen, Richtlinien, Konzepte, Dienstvereinbaru</w:t>
      </w:r>
      <w:r w:rsidRPr="00060DA7">
        <w:rPr>
          <w:rFonts w:ascii="Arial" w:hAnsi="Arial" w:cs="Arial"/>
          <w:sz w:val="22"/>
          <w:szCs w:val="22"/>
        </w:rPr>
        <w:t>n</w:t>
      </w:r>
      <w:r w:rsidRPr="00060DA7">
        <w:rPr>
          <w:rFonts w:ascii="Arial" w:hAnsi="Arial" w:cs="Arial"/>
          <w:sz w:val="22"/>
          <w:szCs w:val="22"/>
        </w:rPr>
        <w:t>gen, Beschreibungen, Sicherheits</w:t>
      </w:r>
      <w:r>
        <w:rPr>
          <w:rFonts w:ascii="Arial" w:hAnsi="Arial" w:cs="Arial"/>
          <w:sz w:val="22"/>
          <w:szCs w:val="22"/>
        </w:rPr>
        <w:t>analysen, etc.)</w:t>
      </w:r>
      <w:r w:rsidR="005215B6">
        <w:rPr>
          <w:rFonts w:ascii="Arial" w:hAnsi="Arial" w:cs="Arial"/>
          <w:sz w:val="22"/>
          <w:szCs w:val="22"/>
        </w:rPr>
        <w:t>.</w:t>
      </w:r>
    </w:p>
    <w:p w14:paraId="024E5D68" w14:textId="77777777" w:rsidR="00060DA7" w:rsidRDefault="00060DA7" w:rsidP="00060DA7">
      <w:pPr>
        <w:spacing w:before="120"/>
        <w:jc w:val="both"/>
        <w:rPr>
          <w:rFonts w:ascii="Arial" w:hAnsi="Arial" w:cs="Arial"/>
          <w:sz w:val="22"/>
          <w:szCs w:val="22"/>
        </w:rPr>
      </w:pPr>
    </w:p>
    <w:p w14:paraId="13621914" w14:textId="77777777" w:rsidR="00060DA7" w:rsidRDefault="00060DA7" w:rsidP="00060DA7">
      <w:pPr>
        <w:spacing w:before="120"/>
        <w:jc w:val="both"/>
        <w:rPr>
          <w:rFonts w:ascii="Arial" w:hAnsi="Arial" w:cs="Arial"/>
          <w:b/>
          <w:sz w:val="22"/>
          <w:szCs w:val="22"/>
        </w:rPr>
      </w:pPr>
      <w:r w:rsidRPr="00060DA7">
        <w:rPr>
          <w:rFonts w:ascii="Arial" w:hAnsi="Arial" w:cs="Arial"/>
          <w:b/>
          <w:sz w:val="22"/>
          <w:szCs w:val="22"/>
        </w:rPr>
        <w:t>2.2 Erweiternde Regelungsinhalte der DS-GVO</w:t>
      </w:r>
    </w:p>
    <w:p w14:paraId="3568D3E2" w14:textId="77777777" w:rsidR="00060DA7" w:rsidRDefault="00060DA7" w:rsidP="00060DA7">
      <w:pPr>
        <w:spacing w:before="120"/>
        <w:jc w:val="both"/>
        <w:rPr>
          <w:rFonts w:ascii="Arial" w:hAnsi="Arial" w:cs="Arial"/>
          <w:sz w:val="22"/>
          <w:szCs w:val="22"/>
        </w:rPr>
      </w:pPr>
      <w:r w:rsidRPr="00060DA7">
        <w:rPr>
          <w:rFonts w:ascii="Arial" w:hAnsi="Arial" w:cs="Arial"/>
          <w:sz w:val="22"/>
          <w:szCs w:val="22"/>
        </w:rPr>
        <w:t xml:space="preserve">Über die im bisherigen </w:t>
      </w:r>
      <w:r>
        <w:rPr>
          <w:rFonts w:ascii="Arial" w:hAnsi="Arial" w:cs="Arial"/>
          <w:sz w:val="22"/>
          <w:szCs w:val="22"/>
        </w:rPr>
        <w:t>etablierten Freigabeprozess berücksichtigten Inhalte hinaus sieht die DS-GVO ergänzende bzw. anschauliche Prüfaspekte vor, die insbesondere im Rahmen der Wahl der technischen und organisatorischen Maßnahmen folgendermaßen einbezogen wu</w:t>
      </w:r>
      <w:r>
        <w:rPr>
          <w:rFonts w:ascii="Arial" w:hAnsi="Arial" w:cs="Arial"/>
          <w:sz w:val="22"/>
          <w:szCs w:val="22"/>
        </w:rPr>
        <w:t>r</w:t>
      </w:r>
      <w:r>
        <w:rPr>
          <w:rFonts w:ascii="Arial" w:hAnsi="Arial" w:cs="Arial"/>
          <w:sz w:val="22"/>
          <w:szCs w:val="22"/>
        </w:rPr>
        <w:t>den:</w:t>
      </w:r>
    </w:p>
    <w:p w14:paraId="119557C0" w14:textId="77777777" w:rsidR="00060DA7" w:rsidRDefault="00060DA7" w:rsidP="00060DA7">
      <w:pPr>
        <w:spacing w:before="120"/>
        <w:jc w:val="both"/>
        <w:rPr>
          <w:rFonts w:ascii="Arial" w:hAnsi="Arial" w:cs="Arial"/>
          <w:sz w:val="22"/>
          <w:szCs w:val="22"/>
        </w:rPr>
      </w:pPr>
    </w:p>
    <w:p w14:paraId="295421A4" w14:textId="77777777" w:rsidR="00060DA7" w:rsidRDefault="00060DA7" w:rsidP="00060DA7">
      <w:pPr>
        <w:spacing w:before="120"/>
        <w:jc w:val="both"/>
        <w:rPr>
          <w:rFonts w:ascii="Arial" w:hAnsi="Arial" w:cs="Arial"/>
          <w:b/>
          <w:sz w:val="22"/>
          <w:szCs w:val="22"/>
        </w:rPr>
      </w:pPr>
      <w:r w:rsidRPr="00B134A5">
        <w:rPr>
          <w:rFonts w:ascii="Arial" w:hAnsi="Arial" w:cs="Arial"/>
          <w:b/>
          <w:sz w:val="22"/>
          <w:szCs w:val="22"/>
        </w:rPr>
        <w:t>2.2.1 Belastbarkeit</w:t>
      </w:r>
      <w:r w:rsidR="00B134A5" w:rsidRPr="00B134A5">
        <w:rPr>
          <w:rFonts w:ascii="Arial" w:hAnsi="Arial" w:cs="Arial"/>
          <w:b/>
          <w:sz w:val="22"/>
          <w:szCs w:val="22"/>
        </w:rPr>
        <w:t xml:space="preserve"> der Systeme</w:t>
      </w:r>
      <w:r w:rsidRPr="00B134A5">
        <w:rPr>
          <w:rFonts w:ascii="Arial" w:hAnsi="Arial" w:cs="Arial"/>
          <w:b/>
          <w:sz w:val="22"/>
          <w:szCs w:val="22"/>
        </w:rPr>
        <w:t xml:space="preserve"> gem. Art. 32 Abs. 1 Buchstabe b) </w:t>
      </w:r>
      <w:r w:rsidR="00B134A5" w:rsidRPr="00B134A5">
        <w:rPr>
          <w:rFonts w:ascii="Arial" w:hAnsi="Arial" w:cs="Arial"/>
          <w:b/>
          <w:sz w:val="22"/>
          <w:szCs w:val="22"/>
        </w:rPr>
        <w:t>DS-GVO</w:t>
      </w:r>
    </w:p>
    <w:p w14:paraId="1B9B4F98" w14:textId="77777777" w:rsidR="00B134A5" w:rsidRDefault="00B134A5" w:rsidP="00060DA7">
      <w:pPr>
        <w:spacing w:before="120"/>
        <w:jc w:val="both"/>
        <w:rPr>
          <w:rFonts w:ascii="Arial" w:hAnsi="Arial" w:cs="Arial"/>
          <w:sz w:val="22"/>
          <w:szCs w:val="22"/>
        </w:rPr>
      </w:pPr>
      <w:r>
        <w:rPr>
          <w:rFonts w:ascii="Arial" w:hAnsi="Arial" w:cs="Arial"/>
          <w:sz w:val="22"/>
          <w:szCs w:val="22"/>
        </w:rPr>
        <w:t xml:space="preserve">Damit ist in der deutschen Literatur der Informatik regelmäßig die Widerstandsfähigkeit oder Ausfallsicherheit von Systemen und Diensten gemeint (vgl. dazu </w:t>
      </w:r>
      <w:proofErr w:type="spellStart"/>
      <w:r>
        <w:rPr>
          <w:rFonts w:ascii="Arial" w:hAnsi="Arial" w:cs="Arial"/>
          <w:sz w:val="22"/>
          <w:szCs w:val="22"/>
        </w:rPr>
        <w:t>Jandt</w:t>
      </w:r>
      <w:proofErr w:type="spellEnd"/>
      <w:r>
        <w:rPr>
          <w:rFonts w:ascii="Arial" w:hAnsi="Arial" w:cs="Arial"/>
          <w:sz w:val="22"/>
          <w:szCs w:val="22"/>
        </w:rPr>
        <w:t xml:space="preserve"> in: </w:t>
      </w:r>
      <w:proofErr w:type="spellStart"/>
      <w:r>
        <w:rPr>
          <w:rFonts w:ascii="Arial" w:hAnsi="Arial" w:cs="Arial"/>
          <w:sz w:val="22"/>
          <w:szCs w:val="22"/>
        </w:rPr>
        <w:t>Kühling</w:t>
      </w:r>
      <w:proofErr w:type="spellEnd"/>
      <w:r>
        <w:rPr>
          <w:rFonts w:ascii="Arial" w:hAnsi="Arial" w:cs="Arial"/>
          <w:sz w:val="22"/>
          <w:szCs w:val="22"/>
        </w:rPr>
        <w:t>/Buchner, DS-GVO-Kommentar, Art. 32, Rz. 26) Unter dem Begriff der Resilienz (die englische Orig</w:t>
      </w:r>
      <w:r>
        <w:rPr>
          <w:rFonts w:ascii="Arial" w:hAnsi="Arial" w:cs="Arial"/>
          <w:sz w:val="22"/>
          <w:szCs w:val="22"/>
        </w:rPr>
        <w:t>i</w:t>
      </w:r>
      <w:r>
        <w:rPr>
          <w:rFonts w:ascii="Arial" w:hAnsi="Arial" w:cs="Arial"/>
          <w:sz w:val="22"/>
          <w:szCs w:val="22"/>
        </w:rPr>
        <w:t>nalfassung der DS-GVO benutzt den Begriff der „</w:t>
      </w:r>
      <w:proofErr w:type="spellStart"/>
      <w:r>
        <w:rPr>
          <w:rFonts w:ascii="Arial" w:hAnsi="Arial" w:cs="Arial"/>
          <w:sz w:val="22"/>
          <w:szCs w:val="22"/>
        </w:rPr>
        <w:t>resilience</w:t>
      </w:r>
      <w:proofErr w:type="spellEnd"/>
      <w:r>
        <w:rPr>
          <w:rFonts w:ascii="Arial" w:hAnsi="Arial" w:cs="Arial"/>
          <w:sz w:val="22"/>
          <w:szCs w:val="22"/>
        </w:rPr>
        <w:t>“) wird allgemein die Fähigkeit eines Systems verstanden, mit Veränderungen, beispielsweise durch Risikoeintritte umg</w:t>
      </w:r>
      <w:r>
        <w:rPr>
          <w:rFonts w:ascii="Arial" w:hAnsi="Arial" w:cs="Arial"/>
          <w:sz w:val="22"/>
          <w:szCs w:val="22"/>
        </w:rPr>
        <w:t>e</w:t>
      </w:r>
      <w:r>
        <w:rPr>
          <w:rFonts w:ascii="Arial" w:hAnsi="Arial" w:cs="Arial"/>
          <w:sz w:val="22"/>
          <w:szCs w:val="22"/>
        </w:rPr>
        <w:t xml:space="preserve">hen zu können. </w:t>
      </w:r>
    </w:p>
    <w:p w14:paraId="30494AD8" w14:textId="77777777" w:rsidR="00B134A5" w:rsidRDefault="00B134A5" w:rsidP="00060DA7">
      <w:pPr>
        <w:spacing w:before="120"/>
        <w:jc w:val="both"/>
        <w:rPr>
          <w:rFonts w:ascii="Arial" w:hAnsi="Arial" w:cs="Arial"/>
          <w:sz w:val="22"/>
          <w:szCs w:val="22"/>
        </w:rPr>
      </w:pPr>
      <w:r>
        <w:rPr>
          <w:rFonts w:ascii="Arial" w:hAnsi="Arial" w:cs="Arial"/>
          <w:sz w:val="22"/>
          <w:szCs w:val="22"/>
        </w:rPr>
        <w:lastRenderedPageBreak/>
        <w:t xml:space="preserve">Eine Planung der Belastbarkeit von Informationstechnik gehört zu den organisatorischen Planungsaufgaben für den Einsatz geeigneter Technik. </w:t>
      </w:r>
      <w:r w:rsidR="005153ED">
        <w:rPr>
          <w:rFonts w:ascii="Arial" w:hAnsi="Arial" w:cs="Arial"/>
          <w:sz w:val="22"/>
          <w:szCs w:val="22"/>
        </w:rPr>
        <w:t>Die _______ (öffentliche Stelle ei</w:t>
      </w:r>
      <w:r w:rsidR="005153ED">
        <w:rPr>
          <w:rFonts w:ascii="Arial" w:hAnsi="Arial" w:cs="Arial"/>
          <w:sz w:val="22"/>
          <w:szCs w:val="22"/>
        </w:rPr>
        <w:t>n</w:t>
      </w:r>
      <w:r w:rsidR="005153ED">
        <w:rPr>
          <w:rFonts w:ascii="Arial" w:hAnsi="Arial" w:cs="Arial"/>
          <w:sz w:val="22"/>
          <w:szCs w:val="22"/>
        </w:rPr>
        <w:t>setzen) richtet sich bei den umzusetzenden organisatorischen und technischen Konzepten  nach den Empfehlungen des Grundschutzes des Bundesamtes für die Informationssicherheit (BSI)</w:t>
      </w:r>
      <w:r w:rsidR="007F61BD">
        <w:rPr>
          <w:rFonts w:ascii="Arial" w:hAnsi="Arial" w:cs="Arial"/>
          <w:sz w:val="22"/>
          <w:szCs w:val="22"/>
        </w:rPr>
        <w:t>.</w:t>
      </w:r>
      <w:r w:rsidR="005153ED">
        <w:rPr>
          <w:rFonts w:ascii="Arial" w:hAnsi="Arial" w:cs="Arial"/>
          <w:sz w:val="22"/>
          <w:szCs w:val="22"/>
        </w:rPr>
        <w:t xml:space="preserve"> Hier werden insbesondere der Gefährdungskatalog „G 2.3 Fehlende, ungeeignete, inkompatible Betriebsmittel und die daraus resultierenden Maßnahmen“ beachtet und en</w:t>
      </w:r>
      <w:r w:rsidR="005153ED">
        <w:rPr>
          <w:rFonts w:ascii="Arial" w:hAnsi="Arial" w:cs="Arial"/>
          <w:sz w:val="22"/>
          <w:szCs w:val="22"/>
        </w:rPr>
        <w:t>t</w:t>
      </w:r>
      <w:r w:rsidR="005153ED">
        <w:rPr>
          <w:rFonts w:ascii="Arial" w:hAnsi="Arial" w:cs="Arial"/>
          <w:sz w:val="22"/>
          <w:szCs w:val="22"/>
        </w:rPr>
        <w:t>sprechend umgesetzt.</w:t>
      </w:r>
    </w:p>
    <w:p w14:paraId="06C90508" w14:textId="77777777" w:rsidR="005215B6" w:rsidRDefault="005215B6" w:rsidP="00060DA7">
      <w:pPr>
        <w:spacing w:before="120"/>
        <w:jc w:val="both"/>
        <w:rPr>
          <w:rFonts w:ascii="Arial" w:hAnsi="Arial" w:cs="Arial"/>
          <w:sz w:val="22"/>
          <w:szCs w:val="22"/>
        </w:rPr>
      </w:pPr>
    </w:p>
    <w:p w14:paraId="68D2BF19" w14:textId="77777777" w:rsidR="005153ED" w:rsidRPr="00E41FCC" w:rsidRDefault="005153ED" w:rsidP="00060DA7">
      <w:pPr>
        <w:spacing w:before="120"/>
        <w:jc w:val="both"/>
        <w:rPr>
          <w:rFonts w:ascii="Arial" w:hAnsi="Arial" w:cs="Arial"/>
          <w:b/>
          <w:sz w:val="22"/>
          <w:szCs w:val="22"/>
        </w:rPr>
      </w:pPr>
      <w:r w:rsidRPr="00E41FCC">
        <w:rPr>
          <w:rFonts w:ascii="Arial" w:hAnsi="Arial" w:cs="Arial"/>
          <w:b/>
          <w:sz w:val="22"/>
          <w:szCs w:val="22"/>
        </w:rPr>
        <w:t xml:space="preserve">2.2.2 Pseudonymisierung, Anonymisierung </w:t>
      </w:r>
      <w:r w:rsidR="00E41FCC" w:rsidRPr="00E41FCC">
        <w:rPr>
          <w:rFonts w:ascii="Arial" w:hAnsi="Arial" w:cs="Arial"/>
          <w:b/>
          <w:sz w:val="22"/>
          <w:szCs w:val="22"/>
        </w:rPr>
        <w:t>gem. Art. 25 Abs. 1 und Art. 32 Abs. 1 Buchstabe a) DS-GVO</w:t>
      </w:r>
    </w:p>
    <w:p w14:paraId="77FA0EF3" w14:textId="77777777" w:rsidR="00E41FCC" w:rsidRDefault="00E41FCC" w:rsidP="00060DA7">
      <w:pPr>
        <w:spacing w:before="120"/>
        <w:jc w:val="both"/>
        <w:rPr>
          <w:rFonts w:ascii="Arial" w:hAnsi="Arial" w:cs="Arial"/>
          <w:sz w:val="22"/>
          <w:szCs w:val="22"/>
        </w:rPr>
      </w:pPr>
      <w:r w:rsidRPr="00E41FCC">
        <w:rPr>
          <w:rFonts w:ascii="Arial" w:hAnsi="Arial" w:cs="Arial"/>
          <w:sz w:val="22"/>
          <w:szCs w:val="22"/>
        </w:rPr>
        <w:t>Möglichkeite</w:t>
      </w:r>
      <w:r>
        <w:rPr>
          <w:rFonts w:ascii="Arial" w:hAnsi="Arial" w:cs="Arial"/>
          <w:sz w:val="22"/>
          <w:szCs w:val="22"/>
        </w:rPr>
        <w:t>n zur Pseudonymisierung und Anonymisierung wurden auch bereits im bisher</w:t>
      </w:r>
      <w:r>
        <w:rPr>
          <w:rFonts w:ascii="Arial" w:hAnsi="Arial" w:cs="Arial"/>
          <w:sz w:val="22"/>
          <w:szCs w:val="22"/>
        </w:rPr>
        <w:t>i</w:t>
      </w:r>
      <w:r>
        <w:rPr>
          <w:rFonts w:ascii="Arial" w:hAnsi="Arial" w:cs="Arial"/>
          <w:sz w:val="22"/>
          <w:szCs w:val="22"/>
        </w:rPr>
        <w:t>gen Prozess geprüft und wenn möglich insbesondere bei der Festlegung von Löschfristen bzw. bei Übermittlungen berücksichtigt.</w:t>
      </w:r>
    </w:p>
    <w:p w14:paraId="4F1C7D8F" w14:textId="77777777" w:rsidR="00E41FCC" w:rsidRDefault="00E41FCC" w:rsidP="00060DA7">
      <w:pPr>
        <w:spacing w:before="120"/>
        <w:jc w:val="both"/>
        <w:rPr>
          <w:rFonts w:ascii="Arial" w:hAnsi="Arial" w:cs="Arial"/>
          <w:sz w:val="22"/>
          <w:szCs w:val="22"/>
        </w:rPr>
      </w:pPr>
    </w:p>
    <w:p w14:paraId="1309A567" w14:textId="77777777" w:rsidR="00E41FCC" w:rsidRDefault="00E41FCC" w:rsidP="00060DA7">
      <w:pPr>
        <w:spacing w:before="120"/>
        <w:jc w:val="both"/>
        <w:rPr>
          <w:rFonts w:ascii="Arial" w:hAnsi="Arial" w:cs="Arial"/>
          <w:b/>
          <w:sz w:val="22"/>
          <w:szCs w:val="22"/>
        </w:rPr>
      </w:pPr>
      <w:r w:rsidRPr="00E41FCC">
        <w:rPr>
          <w:rFonts w:ascii="Arial" w:hAnsi="Arial" w:cs="Arial"/>
          <w:b/>
          <w:sz w:val="22"/>
          <w:szCs w:val="22"/>
        </w:rPr>
        <w:t>2.2.3 Datenschutzrechtliche Voreinstellungen: Privacy by Design und Privacy by Default gem. Art. 25 Abs. 2 DS-GVO</w:t>
      </w:r>
    </w:p>
    <w:p w14:paraId="741B1AB6" w14:textId="77777777" w:rsidR="005D6CA1" w:rsidRDefault="00E41FCC" w:rsidP="00060DA7">
      <w:pPr>
        <w:spacing w:before="120"/>
        <w:jc w:val="both"/>
        <w:rPr>
          <w:rFonts w:ascii="Arial" w:hAnsi="Arial" w:cs="Arial"/>
          <w:sz w:val="22"/>
          <w:szCs w:val="22"/>
        </w:rPr>
      </w:pPr>
      <w:r w:rsidRPr="00E41FCC">
        <w:rPr>
          <w:rFonts w:ascii="Arial" w:hAnsi="Arial" w:cs="Arial"/>
          <w:sz w:val="22"/>
          <w:szCs w:val="22"/>
        </w:rPr>
        <w:t xml:space="preserve">Die Pflicht </w:t>
      </w:r>
      <w:r>
        <w:rPr>
          <w:rFonts w:ascii="Arial" w:hAnsi="Arial" w:cs="Arial"/>
          <w:sz w:val="22"/>
          <w:szCs w:val="22"/>
        </w:rPr>
        <w:t>zur Einrichtung von datenschutzfreundlichen Voreinstellungen bedeutet grun</w:t>
      </w:r>
      <w:r>
        <w:rPr>
          <w:rFonts w:ascii="Arial" w:hAnsi="Arial" w:cs="Arial"/>
          <w:sz w:val="22"/>
          <w:szCs w:val="22"/>
        </w:rPr>
        <w:t>d</w:t>
      </w:r>
      <w:r>
        <w:rPr>
          <w:rFonts w:ascii="Arial" w:hAnsi="Arial" w:cs="Arial"/>
          <w:sz w:val="22"/>
          <w:szCs w:val="22"/>
        </w:rPr>
        <w:t>sätzlich, dass ein Produkt oder Dienst für den Nutzer bereits ohne weiteres Zutun beim er</w:t>
      </w:r>
      <w:r>
        <w:rPr>
          <w:rFonts w:ascii="Arial" w:hAnsi="Arial" w:cs="Arial"/>
          <w:sz w:val="22"/>
          <w:szCs w:val="22"/>
        </w:rPr>
        <w:t>s</w:t>
      </w:r>
      <w:r>
        <w:rPr>
          <w:rFonts w:ascii="Arial" w:hAnsi="Arial" w:cs="Arial"/>
          <w:sz w:val="22"/>
          <w:szCs w:val="22"/>
        </w:rPr>
        <w:t xml:space="preserve">ten Einschalten bzw. Aufruf die datenschutzfreundlichsten Einstellungen und Komponenten aufweisen soll (siehe dazu Hartung in: </w:t>
      </w:r>
      <w:r w:rsidR="005D6CA1">
        <w:rPr>
          <w:rFonts w:ascii="Arial" w:hAnsi="Arial" w:cs="Arial"/>
          <w:sz w:val="22"/>
          <w:szCs w:val="22"/>
        </w:rPr>
        <w:t>Kühling/Buchner, DS-GVO, Kommentar, Artikel 25, Rz</w:t>
      </w:r>
      <w:r w:rsidR="007F61BD">
        <w:rPr>
          <w:rFonts w:ascii="Arial" w:hAnsi="Arial" w:cs="Arial"/>
          <w:sz w:val="22"/>
          <w:szCs w:val="22"/>
        </w:rPr>
        <w:t>.</w:t>
      </w:r>
      <w:r w:rsidR="005D6CA1">
        <w:rPr>
          <w:rFonts w:ascii="Arial" w:hAnsi="Arial" w:cs="Arial"/>
          <w:sz w:val="22"/>
          <w:szCs w:val="22"/>
        </w:rPr>
        <w:t xml:space="preserve"> 24). Eventuell nicht vorhandene, datenschutz- bzw. IT-sicherheitstechnisch relevante Funktionen in den IT-Fachanwendungen wurden und werden nachträglich, ggf. im Wege von Auflagen, eingerichtet (z. B. lesende, schreibende Protokollierungen).</w:t>
      </w:r>
    </w:p>
    <w:p w14:paraId="4EDC9E18" w14:textId="77777777" w:rsidR="005D6CA1" w:rsidRDefault="005D6CA1" w:rsidP="00060DA7">
      <w:pPr>
        <w:spacing w:before="120"/>
        <w:jc w:val="both"/>
        <w:rPr>
          <w:rFonts w:ascii="Arial" w:hAnsi="Arial" w:cs="Arial"/>
          <w:sz w:val="22"/>
          <w:szCs w:val="22"/>
        </w:rPr>
      </w:pPr>
    </w:p>
    <w:p w14:paraId="00A9E0CE" w14:textId="77777777" w:rsidR="005D6CA1" w:rsidRDefault="005D6CA1" w:rsidP="00060DA7">
      <w:pPr>
        <w:spacing w:before="120"/>
        <w:jc w:val="both"/>
        <w:rPr>
          <w:rFonts w:ascii="Arial" w:hAnsi="Arial" w:cs="Arial"/>
          <w:b/>
          <w:sz w:val="22"/>
          <w:szCs w:val="22"/>
        </w:rPr>
      </w:pPr>
      <w:r w:rsidRPr="005D6CA1">
        <w:rPr>
          <w:rFonts w:ascii="Arial" w:hAnsi="Arial" w:cs="Arial"/>
          <w:b/>
          <w:sz w:val="22"/>
          <w:szCs w:val="22"/>
        </w:rPr>
        <w:t>2.2.4 Datenminimierung gem. Art. 5 Abs. 1 Buchstabe c) und Art. 25 Abs. 1 DS-GVO</w:t>
      </w:r>
    </w:p>
    <w:p w14:paraId="1021E966" w14:textId="62447540" w:rsidR="005D6CA1" w:rsidRDefault="005D6CA1" w:rsidP="00060DA7">
      <w:pPr>
        <w:spacing w:before="120"/>
        <w:jc w:val="both"/>
        <w:rPr>
          <w:rFonts w:ascii="Arial" w:hAnsi="Arial" w:cs="Arial"/>
          <w:sz w:val="22"/>
          <w:szCs w:val="22"/>
        </w:rPr>
      </w:pPr>
      <w:r>
        <w:rPr>
          <w:rFonts w:ascii="Arial" w:hAnsi="Arial" w:cs="Arial"/>
          <w:sz w:val="22"/>
          <w:szCs w:val="22"/>
        </w:rPr>
        <w:t>Das Grundprinzip der Datenvermeidung / -minimierung wurde auch bisher in dem date</w:t>
      </w:r>
      <w:r>
        <w:rPr>
          <w:rFonts w:ascii="Arial" w:hAnsi="Arial" w:cs="Arial"/>
          <w:sz w:val="22"/>
          <w:szCs w:val="22"/>
        </w:rPr>
        <w:t>n</w:t>
      </w:r>
      <w:r>
        <w:rPr>
          <w:rFonts w:ascii="Arial" w:hAnsi="Arial" w:cs="Arial"/>
          <w:sz w:val="22"/>
          <w:szCs w:val="22"/>
        </w:rPr>
        <w:t xml:space="preserve">schutzrechtlichen Freigabeverfahren, insbesondere bei der Prüfung von Zugriffs- und Rechtekonzepten sowie der Festlegung von Löschfristen berücksichtigt. </w:t>
      </w:r>
    </w:p>
    <w:p w14:paraId="0003A821" w14:textId="77777777" w:rsidR="005D6CA1" w:rsidRDefault="005D6CA1" w:rsidP="00060DA7">
      <w:pPr>
        <w:spacing w:before="120"/>
        <w:jc w:val="both"/>
        <w:rPr>
          <w:rFonts w:ascii="Arial" w:hAnsi="Arial" w:cs="Arial"/>
          <w:sz w:val="22"/>
          <w:szCs w:val="22"/>
        </w:rPr>
      </w:pPr>
    </w:p>
    <w:p w14:paraId="2755B033" w14:textId="77777777" w:rsidR="005D6CA1" w:rsidRDefault="005D6CA1" w:rsidP="00060DA7">
      <w:pPr>
        <w:spacing w:before="120"/>
        <w:jc w:val="both"/>
        <w:rPr>
          <w:rFonts w:ascii="Arial" w:hAnsi="Arial" w:cs="Arial"/>
          <w:b/>
          <w:sz w:val="22"/>
          <w:szCs w:val="22"/>
        </w:rPr>
      </w:pPr>
      <w:r w:rsidRPr="005D6CA1">
        <w:rPr>
          <w:rFonts w:ascii="Arial" w:hAnsi="Arial" w:cs="Arial"/>
          <w:b/>
          <w:sz w:val="22"/>
          <w:szCs w:val="22"/>
        </w:rPr>
        <w:t>3. Überführungsergebnis</w:t>
      </w:r>
    </w:p>
    <w:p w14:paraId="1D556B30" w14:textId="77777777" w:rsidR="005D6CA1" w:rsidRDefault="005D6CA1" w:rsidP="00060DA7">
      <w:pPr>
        <w:spacing w:before="120"/>
        <w:jc w:val="both"/>
        <w:rPr>
          <w:rFonts w:ascii="Arial" w:hAnsi="Arial" w:cs="Arial"/>
          <w:b/>
          <w:sz w:val="22"/>
          <w:szCs w:val="22"/>
        </w:rPr>
      </w:pPr>
    </w:p>
    <w:p w14:paraId="70FDC123" w14:textId="23F7B675" w:rsidR="005D6CA1" w:rsidRPr="005D6CA1" w:rsidRDefault="005D6CA1" w:rsidP="005D6CA1">
      <w:pPr>
        <w:spacing w:before="120"/>
        <w:jc w:val="both"/>
        <w:rPr>
          <w:rFonts w:ascii="Arial" w:hAnsi="Arial" w:cs="Arial"/>
          <w:sz w:val="22"/>
          <w:szCs w:val="22"/>
        </w:rPr>
      </w:pPr>
      <w:r>
        <w:rPr>
          <w:rFonts w:ascii="Arial" w:hAnsi="Arial" w:cs="Arial"/>
          <w:sz w:val="22"/>
          <w:szCs w:val="22"/>
        </w:rPr>
        <w:t>Die DS-GVO</w:t>
      </w:r>
      <w:r w:rsidRPr="005D6CA1">
        <w:rPr>
          <w:rFonts w:ascii="Arial" w:hAnsi="Arial" w:cs="Arial"/>
          <w:sz w:val="22"/>
          <w:szCs w:val="22"/>
        </w:rPr>
        <w:t xml:space="preserve"> schreibt für alle öffentlichen Institutionen in den Mitgliedsstaaten die Durchfü</w:t>
      </w:r>
      <w:r w:rsidRPr="005D6CA1">
        <w:rPr>
          <w:rFonts w:ascii="Arial" w:hAnsi="Arial" w:cs="Arial"/>
          <w:sz w:val="22"/>
          <w:szCs w:val="22"/>
        </w:rPr>
        <w:t>h</w:t>
      </w:r>
      <w:r w:rsidRPr="005D6CA1">
        <w:rPr>
          <w:rFonts w:ascii="Arial" w:hAnsi="Arial" w:cs="Arial"/>
          <w:sz w:val="22"/>
          <w:szCs w:val="22"/>
        </w:rPr>
        <w:t>rung einer sog. "Datenschutz-Folge</w:t>
      </w:r>
      <w:r w:rsidR="007F61BD">
        <w:rPr>
          <w:rFonts w:ascii="Arial" w:hAnsi="Arial" w:cs="Arial"/>
          <w:sz w:val="22"/>
          <w:szCs w:val="22"/>
        </w:rPr>
        <w:t>n</w:t>
      </w:r>
      <w:r w:rsidRPr="005D6CA1">
        <w:rPr>
          <w:rFonts w:ascii="Arial" w:hAnsi="Arial" w:cs="Arial"/>
          <w:sz w:val="22"/>
          <w:szCs w:val="22"/>
        </w:rPr>
        <w:t>abschätzung" vor (Art. 35 ff</w:t>
      </w:r>
      <w:r>
        <w:rPr>
          <w:rFonts w:ascii="Arial" w:hAnsi="Arial" w:cs="Arial"/>
          <w:sz w:val="22"/>
          <w:szCs w:val="22"/>
        </w:rPr>
        <w:t>. DS-GVO</w:t>
      </w:r>
      <w:r w:rsidRPr="005D6CA1">
        <w:rPr>
          <w:rFonts w:ascii="Arial" w:hAnsi="Arial" w:cs="Arial"/>
          <w:sz w:val="22"/>
          <w:szCs w:val="22"/>
        </w:rPr>
        <w:t>). Diese ist durc</w:t>
      </w:r>
      <w:r w:rsidRPr="005D6CA1">
        <w:rPr>
          <w:rFonts w:ascii="Arial" w:hAnsi="Arial" w:cs="Arial"/>
          <w:sz w:val="22"/>
          <w:szCs w:val="22"/>
        </w:rPr>
        <w:t>h</w:t>
      </w:r>
      <w:r w:rsidRPr="005D6CA1">
        <w:rPr>
          <w:rFonts w:ascii="Arial" w:hAnsi="Arial" w:cs="Arial"/>
          <w:sz w:val="22"/>
          <w:szCs w:val="22"/>
        </w:rPr>
        <w:t>zuführen, wenn die Verarbeitung der personenbezogenen Daten mit besonders komplexen und neuartigen Verfahren vorgenommen wird. Explizit wird die Datenschutz-Folge</w:t>
      </w:r>
      <w:r w:rsidR="007F61BD">
        <w:rPr>
          <w:rFonts w:ascii="Arial" w:hAnsi="Arial" w:cs="Arial"/>
          <w:sz w:val="22"/>
          <w:szCs w:val="22"/>
        </w:rPr>
        <w:t>n</w:t>
      </w:r>
      <w:r w:rsidRPr="005D6CA1">
        <w:rPr>
          <w:rFonts w:ascii="Arial" w:hAnsi="Arial" w:cs="Arial"/>
          <w:sz w:val="22"/>
          <w:szCs w:val="22"/>
        </w:rPr>
        <w:t>abschätzung verbindlich vorgeschrieben, wenn umfangreich besonders sensible K</w:t>
      </w:r>
      <w:r w:rsidRPr="005D6CA1">
        <w:rPr>
          <w:rFonts w:ascii="Arial" w:hAnsi="Arial" w:cs="Arial"/>
          <w:sz w:val="22"/>
          <w:szCs w:val="22"/>
        </w:rPr>
        <w:t>a</w:t>
      </w:r>
      <w:r w:rsidRPr="005D6CA1">
        <w:rPr>
          <w:rFonts w:ascii="Arial" w:hAnsi="Arial" w:cs="Arial"/>
          <w:sz w:val="22"/>
          <w:szCs w:val="22"/>
        </w:rPr>
        <w:t>tegorien von Daten verarbeitet werden (z. B. Gesundheitsdaten nach</w:t>
      </w:r>
      <w:r>
        <w:rPr>
          <w:rFonts w:ascii="Arial" w:hAnsi="Arial" w:cs="Arial"/>
          <w:sz w:val="22"/>
          <w:szCs w:val="22"/>
        </w:rPr>
        <w:t xml:space="preserve"> Art. 9 DS-GVO</w:t>
      </w:r>
      <w:r w:rsidRPr="005D6CA1">
        <w:rPr>
          <w:rFonts w:ascii="Arial" w:hAnsi="Arial" w:cs="Arial"/>
          <w:sz w:val="22"/>
          <w:szCs w:val="22"/>
        </w:rPr>
        <w:t>). Die Datenschutz-Folge</w:t>
      </w:r>
      <w:r w:rsidR="007F61BD">
        <w:rPr>
          <w:rFonts w:ascii="Arial" w:hAnsi="Arial" w:cs="Arial"/>
          <w:sz w:val="22"/>
          <w:szCs w:val="22"/>
        </w:rPr>
        <w:t>n</w:t>
      </w:r>
      <w:r w:rsidRPr="005D6CA1">
        <w:rPr>
          <w:rFonts w:ascii="Arial" w:hAnsi="Arial" w:cs="Arial"/>
          <w:sz w:val="22"/>
          <w:szCs w:val="22"/>
        </w:rPr>
        <w:t>abschätzung wird nicht bei jedem automatisiertem Verfahren erforderlic</w:t>
      </w:r>
      <w:r>
        <w:rPr>
          <w:rFonts w:ascii="Arial" w:hAnsi="Arial" w:cs="Arial"/>
          <w:sz w:val="22"/>
          <w:szCs w:val="22"/>
        </w:rPr>
        <w:t>h sein, während nach dem bis</w:t>
      </w:r>
      <w:r w:rsidR="007F61BD">
        <w:rPr>
          <w:rFonts w:ascii="Arial" w:hAnsi="Arial" w:cs="Arial"/>
          <w:sz w:val="22"/>
          <w:szCs w:val="22"/>
        </w:rPr>
        <w:t xml:space="preserve">her geltenden </w:t>
      </w:r>
      <w:r w:rsidRPr="005D6CA1">
        <w:rPr>
          <w:rFonts w:ascii="Arial" w:hAnsi="Arial" w:cs="Arial"/>
          <w:sz w:val="22"/>
          <w:szCs w:val="22"/>
        </w:rPr>
        <w:t xml:space="preserve">ThürDSG das Freigabeverfahren häufiger zum Einsatz kam. </w:t>
      </w:r>
    </w:p>
    <w:p w14:paraId="51E75E77" w14:textId="77777777" w:rsidR="005D6CA1" w:rsidRPr="005D6CA1" w:rsidRDefault="005D6CA1" w:rsidP="005D6CA1">
      <w:pPr>
        <w:spacing w:before="120"/>
        <w:jc w:val="both"/>
        <w:rPr>
          <w:rFonts w:ascii="Arial" w:hAnsi="Arial" w:cs="Arial"/>
          <w:sz w:val="22"/>
          <w:szCs w:val="22"/>
        </w:rPr>
      </w:pPr>
      <w:r w:rsidRPr="005D6CA1">
        <w:rPr>
          <w:rFonts w:ascii="Arial" w:hAnsi="Arial" w:cs="Arial"/>
          <w:sz w:val="22"/>
          <w:szCs w:val="22"/>
        </w:rPr>
        <w:t>Darüber hinaus si</w:t>
      </w:r>
      <w:r>
        <w:rPr>
          <w:rFonts w:ascii="Arial" w:hAnsi="Arial" w:cs="Arial"/>
          <w:sz w:val="22"/>
          <w:szCs w:val="22"/>
        </w:rPr>
        <w:t>eht die DS-GVO</w:t>
      </w:r>
      <w:r w:rsidRPr="005D6CA1">
        <w:rPr>
          <w:rFonts w:ascii="Arial" w:hAnsi="Arial" w:cs="Arial"/>
          <w:sz w:val="22"/>
          <w:szCs w:val="22"/>
        </w:rPr>
        <w:t xml:space="preserve"> für alle Verarbeitungstätigkeiten ein Verzeichnis nach Art. 30 vor sowie die Pflicht des Verantwortlichen, bestimmte technische und organisatorische Maßnahmen zu treffen (Art. 24, 25, 32 der Verordnung (EU) 2016/679). </w:t>
      </w:r>
    </w:p>
    <w:p w14:paraId="341FD3B9" w14:textId="77777777" w:rsidR="005D6CA1" w:rsidRPr="005D6CA1" w:rsidRDefault="005D6CA1" w:rsidP="005D6CA1">
      <w:pPr>
        <w:spacing w:before="120"/>
        <w:jc w:val="both"/>
        <w:rPr>
          <w:rFonts w:ascii="Arial" w:hAnsi="Arial" w:cs="Arial"/>
          <w:sz w:val="22"/>
          <w:szCs w:val="22"/>
        </w:rPr>
      </w:pPr>
      <w:r w:rsidRPr="005D6CA1">
        <w:rPr>
          <w:rFonts w:ascii="Arial" w:hAnsi="Arial" w:cs="Arial"/>
          <w:sz w:val="22"/>
          <w:szCs w:val="22"/>
        </w:rPr>
        <w:t xml:space="preserve">Vor dem Hintergrund der bisherigen gesetzlichen Verpflichtung der </w:t>
      </w:r>
      <w:r>
        <w:rPr>
          <w:rFonts w:ascii="Arial" w:hAnsi="Arial" w:cs="Arial"/>
          <w:sz w:val="22"/>
          <w:szCs w:val="22"/>
        </w:rPr>
        <w:t>Freigabeverfahren durch  die ________ (öffentliche Stelle einfügen)</w:t>
      </w:r>
      <w:r w:rsidRPr="005D6CA1">
        <w:rPr>
          <w:rFonts w:ascii="Arial" w:hAnsi="Arial" w:cs="Arial"/>
          <w:sz w:val="22"/>
          <w:szCs w:val="22"/>
        </w:rPr>
        <w:t xml:space="preserve"> unter regelmäßiger weiterer schriftlicher Erört</w:t>
      </w:r>
      <w:r w:rsidRPr="005D6CA1">
        <w:rPr>
          <w:rFonts w:ascii="Arial" w:hAnsi="Arial" w:cs="Arial"/>
          <w:sz w:val="22"/>
          <w:szCs w:val="22"/>
        </w:rPr>
        <w:t>e</w:t>
      </w:r>
      <w:r w:rsidRPr="005D6CA1">
        <w:rPr>
          <w:rFonts w:ascii="Arial" w:hAnsi="Arial" w:cs="Arial"/>
          <w:sz w:val="22"/>
          <w:szCs w:val="22"/>
        </w:rPr>
        <w:t>rung datenschutzrechtlicher Fragestellungen und der Etablierung eines Prozesses zur G</w:t>
      </w:r>
      <w:r w:rsidRPr="005D6CA1">
        <w:rPr>
          <w:rFonts w:ascii="Arial" w:hAnsi="Arial" w:cs="Arial"/>
          <w:sz w:val="22"/>
          <w:szCs w:val="22"/>
        </w:rPr>
        <w:t>e</w:t>
      </w:r>
      <w:r w:rsidRPr="005D6CA1">
        <w:rPr>
          <w:rFonts w:ascii="Arial" w:hAnsi="Arial" w:cs="Arial"/>
          <w:sz w:val="22"/>
          <w:szCs w:val="22"/>
        </w:rPr>
        <w:t>währleistung der Informationssicherheit am Maßstab der BSI-Methodik erscheint eine Ada</w:t>
      </w:r>
      <w:r w:rsidRPr="005D6CA1">
        <w:rPr>
          <w:rFonts w:ascii="Arial" w:hAnsi="Arial" w:cs="Arial"/>
          <w:sz w:val="22"/>
          <w:szCs w:val="22"/>
        </w:rPr>
        <w:t>p</w:t>
      </w:r>
      <w:r w:rsidRPr="005D6CA1">
        <w:rPr>
          <w:rFonts w:ascii="Arial" w:hAnsi="Arial" w:cs="Arial"/>
          <w:sz w:val="22"/>
          <w:szCs w:val="22"/>
        </w:rPr>
        <w:t>tionsverfügung als gerechtfertigt, da die sich aus dem EU-Recht und ThürDSG künftig erg</w:t>
      </w:r>
      <w:r w:rsidRPr="005D6CA1">
        <w:rPr>
          <w:rFonts w:ascii="Arial" w:hAnsi="Arial" w:cs="Arial"/>
          <w:sz w:val="22"/>
          <w:szCs w:val="22"/>
        </w:rPr>
        <w:t>e</w:t>
      </w:r>
      <w:r w:rsidRPr="005D6CA1">
        <w:rPr>
          <w:rFonts w:ascii="Arial" w:hAnsi="Arial" w:cs="Arial"/>
          <w:sz w:val="22"/>
          <w:szCs w:val="22"/>
        </w:rPr>
        <w:lastRenderedPageBreak/>
        <w:t>benden Anforderungen weitgehend nicht über den bisherigen Standard hinausgehen we</w:t>
      </w:r>
      <w:r w:rsidRPr="005D6CA1">
        <w:rPr>
          <w:rFonts w:ascii="Arial" w:hAnsi="Arial" w:cs="Arial"/>
          <w:sz w:val="22"/>
          <w:szCs w:val="22"/>
        </w:rPr>
        <w:t>r</w:t>
      </w:r>
      <w:r w:rsidRPr="005D6CA1">
        <w:rPr>
          <w:rFonts w:ascii="Arial" w:hAnsi="Arial" w:cs="Arial"/>
          <w:sz w:val="22"/>
          <w:szCs w:val="22"/>
        </w:rPr>
        <w:t>den.</w:t>
      </w:r>
    </w:p>
    <w:p w14:paraId="440A278A" w14:textId="77777777" w:rsidR="005D6CA1" w:rsidRPr="005D6CA1" w:rsidRDefault="005D6CA1" w:rsidP="005D6CA1">
      <w:pPr>
        <w:spacing w:before="120"/>
        <w:jc w:val="both"/>
        <w:rPr>
          <w:rFonts w:ascii="Arial" w:hAnsi="Arial" w:cs="Arial"/>
          <w:sz w:val="22"/>
          <w:szCs w:val="22"/>
        </w:rPr>
      </w:pPr>
      <w:r w:rsidRPr="005D6CA1">
        <w:rPr>
          <w:rFonts w:ascii="Arial" w:hAnsi="Arial" w:cs="Arial"/>
          <w:sz w:val="22"/>
          <w:szCs w:val="22"/>
        </w:rPr>
        <w:t>Im Rahmen eines solchen Freigabeverfahrens wurde regelmäßig ein Verfahrensverzeichnis vorgelegt. Dieses Dokument wurde bei einer Vielzahl der Verfahren durch das oben benan</w:t>
      </w:r>
      <w:r w:rsidRPr="005D6CA1">
        <w:rPr>
          <w:rFonts w:ascii="Arial" w:hAnsi="Arial" w:cs="Arial"/>
          <w:sz w:val="22"/>
          <w:szCs w:val="22"/>
        </w:rPr>
        <w:t>n</w:t>
      </w:r>
      <w:r w:rsidRPr="005D6CA1">
        <w:rPr>
          <w:rFonts w:ascii="Arial" w:hAnsi="Arial" w:cs="Arial"/>
          <w:sz w:val="22"/>
          <w:szCs w:val="22"/>
        </w:rPr>
        <w:t>te Informationssicherheitskonzept (BSI-Methodik), ggf. durch ein Rechte-Rollenkonzept und Dienstanweisungen ergänzt, soweit die darin zu beschreibenden Angaben für eine Formuli</w:t>
      </w:r>
      <w:r w:rsidRPr="005D6CA1">
        <w:rPr>
          <w:rFonts w:ascii="Arial" w:hAnsi="Arial" w:cs="Arial"/>
          <w:sz w:val="22"/>
          <w:szCs w:val="22"/>
        </w:rPr>
        <w:t>e</w:t>
      </w:r>
      <w:r w:rsidRPr="005D6CA1">
        <w:rPr>
          <w:rFonts w:ascii="Arial" w:hAnsi="Arial" w:cs="Arial"/>
          <w:sz w:val="22"/>
          <w:szCs w:val="22"/>
        </w:rPr>
        <w:t>rung innerhalb des Verfahrensverzeichnisses zu umfangreich waren.</w:t>
      </w:r>
    </w:p>
    <w:p w14:paraId="549BAFF9" w14:textId="7420A8C6" w:rsidR="005D6CA1" w:rsidRPr="005D6CA1" w:rsidRDefault="005D6CA1" w:rsidP="005D6CA1">
      <w:pPr>
        <w:spacing w:before="120"/>
        <w:jc w:val="both"/>
        <w:rPr>
          <w:rFonts w:ascii="Arial" w:hAnsi="Arial" w:cs="Arial"/>
          <w:sz w:val="22"/>
          <w:szCs w:val="22"/>
        </w:rPr>
      </w:pPr>
      <w:r w:rsidRPr="005D6CA1">
        <w:rPr>
          <w:rFonts w:ascii="Arial" w:hAnsi="Arial" w:cs="Arial"/>
          <w:sz w:val="22"/>
          <w:szCs w:val="22"/>
        </w:rPr>
        <w:t>Es besteht Einvernehmen zwischen den beteiligten Akteuren und de</w:t>
      </w:r>
      <w:r w:rsidR="007F61BD">
        <w:rPr>
          <w:rFonts w:ascii="Arial" w:hAnsi="Arial" w:cs="Arial"/>
          <w:sz w:val="22"/>
          <w:szCs w:val="22"/>
        </w:rPr>
        <w:t>m</w:t>
      </w:r>
      <w:r w:rsidRPr="005D6CA1">
        <w:rPr>
          <w:rFonts w:ascii="Arial" w:hAnsi="Arial" w:cs="Arial"/>
          <w:sz w:val="22"/>
          <w:szCs w:val="22"/>
        </w:rPr>
        <w:t xml:space="preserve"> </w:t>
      </w:r>
      <w:r w:rsidR="007F61BD">
        <w:rPr>
          <w:rFonts w:ascii="Arial" w:hAnsi="Arial" w:cs="Arial"/>
          <w:sz w:val="22"/>
          <w:szCs w:val="22"/>
        </w:rPr>
        <w:t xml:space="preserve">behördlichen </w:t>
      </w:r>
      <w:r w:rsidRPr="005D6CA1">
        <w:rPr>
          <w:rFonts w:ascii="Arial" w:hAnsi="Arial" w:cs="Arial"/>
          <w:sz w:val="22"/>
          <w:szCs w:val="22"/>
        </w:rPr>
        <w:t>Beau</w:t>
      </w:r>
      <w:r w:rsidRPr="005D6CA1">
        <w:rPr>
          <w:rFonts w:ascii="Arial" w:hAnsi="Arial" w:cs="Arial"/>
          <w:sz w:val="22"/>
          <w:szCs w:val="22"/>
        </w:rPr>
        <w:t>f</w:t>
      </w:r>
      <w:r w:rsidRPr="005D6CA1">
        <w:rPr>
          <w:rFonts w:ascii="Arial" w:hAnsi="Arial" w:cs="Arial"/>
          <w:sz w:val="22"/>
          <w:szCs w:val="22"/>
        </w:rPr>
        <w:t>tragten für den Datenschutz, dass der nunmehr bereits seit Jahren praktizierte und unter 2.1. skizzierte Prüfprozess ein Höchstmaß an Qualität bezogen auf die datenschutzrechtlichen Regelungen und informationssicherheitstechnischen Erfordernisse nach dem Stand der Technik gewährleistet und in dieser Form den inhaltlichen Forderun</w:t>
      </w:r>
      <w:r w:rsidR="006B3436">
        <w:rPr>
          <w:rFonts w:ascii="Arial" w:hAnsi="Arial" w:cs="Arial"/>
          <w:sz w:val="22"/>
          <w:szCs w:val="22"/>
        </w:rPr>
        <w:t>gen der DS-GVO</w:t>
      </w:r>
      <w:r w:rsidRPr="005D6CA1">
        <w:rPr>
          <w:rFonts w:ascii="Arial" w:hAnsi="Arial" w:cs="Arial"/>
          <w:sz w:val="22"/>
          <w:szCs w:val="22"/>
        </w:rPr>
        <w:t xml:space="preserve"> nach Risikoabschätzung, Auswahl geeigneter technischer und organisatorischer Maßnahmen s</w:t>
      </w:r>
      <w:r w:rsidRPr="005D6CA1">
        <w:rPr>
          <w:rFonts w:ascii="Arial" w:hAnsi="Arial" w:cs="Arial"/>
          <w:sz w:val="22"/>
          <w:szCs w:val="22"/>
        </w:rPr>
        <w:t>o</w:t>
      </w:r>
      <w:r w:rsidRPr="005D6CA1">
        <w:rPr>
          <w:rFonts w:ascii="Arial" w:hAnsi="Arial" w:cs="Arial"/>
          <w:sz w:val="22"/>
          <w:szCs w:val="22"/>
        </w:rPr>
        <w:t>wie der Dokumentation ergriffener Maßnahmen entspricht.</w:t>
      </w:r>
    </w:p>
    <w:p w14:paraId="73BAD14D" w14:textId="77777777" w:rsidR="005D6CA1" w:rsidRDefault="005D6CA1" w:rsidP="00060DA7">
      <w:pPr>
        <w:spacing w:before="120"/>
        <w:jc w:val="both"/>
        <w:rPr>
          <w:rFonts w:ascii="Arial" w:hAnsi="Arial" w:cs="Arial"/>
          <w:b/>
          <w:sz w:val="22"/>
          <w:szCs w:val="22"/>
        </w:rPr>
      </w:pPr>
      <w:r w:rsidRPr="005D6CA1">
        <w:rPr>
          <w:rFonts w:ascii="Arial" w:hAnsi="Arial" w:cs="Arial"/>
          <w:b/>
          <w:sz w:val="22"/>
          <w:szCs w:val="22"/>
        </w:rPr>
        <w:t>Festzuhalten</w:t>
      </w:r>
      <w:r>
        <w:rPr>
          <w:rFonts w:ascii="Arial" w:hAnsi="Arial" w:cs="Arial"/>
          <w:b/>
          <w:sz w:val="22"/>
          <w:szCs w:val="22"/>
        </w:rPr>
        <w:t xml:space="preserve"> ist somit, dass die unter Nummer</w:t>
      </w:r>
      <w:r w:rsidRPr="005D6CA1">
        <w:rPr>
          <w:rFonts w:ascii="Arial" w:hAnsi="Arial" w:cs="Arial"/>
          <w:b/>
          <w:sz w:val="22"/>
          <w:szCs w:val="22"/>
        </w:rPr>
        <w:t xml:space="preserve"> 1 genannte Datenverarbeitung, die im Rahmen des durch den Datenschutzbeauftragten zu führenden Verfahrensverzeic</w:t>
      </w:r>
      <w:r w:rsidRPr="005D6CA1">
        <w:rPr>
          <w:rFonts w:ascii="Arial" w:hAnsi="Arial" w:cs="Arial"/>
          <w:b/>
          <w:sz w:val="22"/>
          <w:szCs w:val="22"/>
        </w:rPr>
        <w:t>h</w:t>
      </w:r>
      <w:r w:rsidRPr="005D6CA1">
        <w:rPr>
          <w:rFonts w:ascii="Arial" w:hAnsi="Arial" w:cs="Arial"/>
          <w:b/>
          <w:sz w:val="22"/>
          <w:szCs w:val="22"/>
        </w:rPr>
        <w:t>nisses vorliegt und von diesem freigegebenen wurde, den Vorga</w:t>
      </w:r>
      <w:r>
        <w:rPr>
          <w:rFonts w:ascii="Arial" w:hAnsi="Arial" w:cs="Arial"/>
          <w:b/>
          <w:sz w:val="22"/>
          <w:szCs w:val="22"/>
        </w:rPr>
        <w:t>ben der DS-GVO</w:t>
      </w:r>
      <w:r w:rsidRPr="005D6CA1">
        <w:rPr>
          <w:rFonts w:ascii="Arial" w:hAnsi="Arial" w:cs="Arial"/>
          <w:b/>
          <w:sz w:val="22"/>
          <w:szCs w:val="22"/>
        </w:rPr>
        <w:t xml:space="preserve"> in großen Teilen entspricht.</w:t>
      </w:r>
    </w:p>
    <w:p w14:paraId="60FC5BC0" w14:textId="711F6A03" w:rsidR="007F61BD" w:rsidRDefault="007F61BD" w:rsidP="007F61BD">
      <w:pPr>
        <w:spacing w:before="120"/>
        <w:jc w:val="both"/>
        <w:rPr>
          <w:rFonts w:ascii="Arial" w:hAnsi="Arial" w:cs="Arial"/>
          <w:b/>
          <w:sz w:val="22"/>
          <w:szCs w:val="22"/>
        </w:rPr>
      </w:pPr>
      <w:r>
        <w:rPr>
          <w:rFonts w:ascii="Arial" w:hAnsi="Arial" w:cs="Arial"/>
          <w:b/>
          <w:sz w:val="22"/>
          <w:szCs w:val="22"/>
        </w:rPr>
        <w:t xml:space="preserve">Diese Einschätzung wurde von den Vertretern des </w:t>
      </w:r>
      <w:r w:rsidR="000E6953">
        <w:rPr>
          <w:rFonts w:ascii="Arial" w:hAnsi="Arial" w:cs="Arial"/>
          <w:b/>
          <w:sz w:val="22"/>
          <w:szCs w:val="22"/>
        </w:rPr>
        <w:t>Thüringer Ministeriums für Inneres und Kommunales</w:t>
      </w:r>
      <w:r>
        <w:rPr>
          <w:rFonts w:ascii="Arial" w:hAnsi="Arial" w:cs="Arial"/>
          <w:b/>
          <w:sz w:val="22"/>
          <w:szCs w:val="22"/>
        </w:rPr>
        <w:t>, der kommunalen Spit</w:t>
      </w:r>
      <w:r w:rsidR="000E6953">
        <w:rPr>
          <w:rFonts w:ascii="Arial" w:hAnsi="Arial" w:cs="Arial"/>
          <w:b/>
          <w:sz w:val="22"/>
          <w:szCs w:val="22"/>
        </w:rPr>
        <w:t>z</w:t>
      </w:r>
      <w:r>
        <w:rPr>
          <w:rFonts w:ascii="Arial" w:hAnsi="Arial" w:cs="Arial"/>
          <w:b/>
          <w:sz w:val="22"/>
          <w:szCs w:val="22"/>
        </w:rPr>
        <w:t>enverbände und des TLfDI in der gegründ</w:t>
      </w:r>
      <w:r>
        <w:rPr>
          <w:rFonts w:ascii="Arial" w:hAnsi="Arial" w:cs="Arial"/>
          <w:b/>
          <w:sz w:val="22"/>
          <w:szCs w:val="22"/>
        </w:rPr>
        <w:t>e</w:t>
      </w:r>
      <w:r>
        <w:rPr>
          <w:rFonts w:ascii="Arial" w:hAnsi="Arial" w:cs="Arial"/>
          <w:b/>
          <w:sz w:val="22"/>
          <w:szCs w:val="22"/>
        </w:rPr>
        <w:t>ten Arbeitsgruppe zur Umsetzung der DS-GVO auf kommunaler Ebene geteilt. Diese Adaptionsverfügung gilt, vorbehaltlich des Erfordernisses wesentlicher Änderungen für die jeweilige Fachanwendung, maximal zwei Jahre ab Anwendung der DS-GVO am 25. Mai 2018.</w:t>
      </w:r>
    </w:p>
    <w:p w14:paraId="4C58BA6D" w14:textId="7D9E596A" w:rsidR="00D63F86" w:rsidRDefault="005B1E6A" w:rsidP="007F61BD">
      <w:pPr>
        <w:spacing w:before="120"/>
        <w:jc w:val="both"/>
        <w:rPr>
          <w:rFonts w:ascii="Arial" w:hAnsi="Arial" w:cs="Arial"/>
          <w:b/>
          <w:sz w:val="22"/>
          <w:szCs w:val="22"/>
        </w:rPr>
      </w:pPr>
      <w:r>
        <w:rPr>
          <w:rFonts w:ascii="Arial" w:hAnsi="Arial" w:cs="Arial"/>
          <w:b/>
          <w:sz w:val="22"/>
          <w:szCs w:val="22"/>
        </w:rPr>
        <w:t>Die Verwendung dieser Adaptionsverfügung entbindet den Verantwortlichen nicht d</w:t>
      </w:r>
      <w:r>
        <w:rPr>
          <w:rFonts w:ascii="Arial" w:hAnsi="Arial" w:cs="Arial"/>
          <w:b/>
          <w:sz w:val="22"/>
          <w:szCs w:val="22"/>
        </w:rPr>
        <w:t>a</w:t>
      </w:r>
      <w:r>
        <w:rPr>
          <w:rFonts w:ascii="Arial" w:hAnsi="Arial" w:cs="Arial"/>
          <w:b/>
          <w:sz w:val="22"/>
          <w:szCs w:val="22"/>
        </w:rPr>
        <w:t xml:space="preserve">von, </w:t>
      </w:r>
      <w:r w:rsidR="000E6953">
        <w:rPr>
          <w:rFonts w:ascii="Arial" w:hAnsi="Arial" w:cs="Arial"/>
          <w:b/>
          <w:sz w:val="22"/>
          <w:szCs w:val="22"/>
        </w:rPr>
        <w:t>bei relevanten</w:t>
      </w:r>
      <w:r>
        <w:rPr>
          <w:rFonts w:ascii="Arial" w:hAnsi="Arial" w:cs="Arial"/>
          <w:b/>
          <w:sz w:val="22"/>
          <w:szCs w:val="22"/>
        </w:rPr>
        <w:t xml:space="preserve"> Änderungen des Verfahrens das entsprechende Verzeichnis an die DS-GVO schon vor Ablauf der genannten Frist anzupassen. Die Verwendung der Adaptionsverfügung schließt ferner Kontrollen und weitere Maßnahmen des TLfDI nicht aus.</w:t>
      </w:r>
    </w:p>
    <w:p w14:paraId="02F4D419" w14:textId="77777777" w:rsidR="005B1E6A" w:rsidRPr="007F61BD" w:rsidRDefault="005B1E6A" w:rsidP="007F61BD">
      <w:pPr>
        <w:spacing w:before="120"/>
        <w:jc w:val="both"/>
        <w:rPr>
          <w:rFonts w:ascii="Arial" w:hAnsi="Arial" w:cs="Arial"/>
          <w:b/>
          <w:sz w:val="22"/>
          <w:szCs w:val="22"/>
        </w:rPr>
      </w:pPr>
    </w:p>
    <w:p w14:paraId="05797729" w14:textId="77777777" w:rsidR="006B3436" w:rsidRDefault="006B3436" w:rsidP="00060DA7">
      <w:pPr>
        <w:spacing w:before="120"/>
        <w:jc w:val="both"/>
        <w:rPr>
          <w:rFonts w:ascii="Arial" w:hAnsi="Arial" w:cs="Arial"/>
          <w:b/>
          <w:sz w:val="22"/>
          <w:szCs w:val="22"/>
        </w:rPr>
      </w:pPr>
      <w:r>
        <w:rPr>
          <w:rFonts w:ascii="Arial" w:hAnsi="Arial" w:cs="Arial"/>
          <w:b/>
          <w:sz w:val="22"/>
          <w:szCs w:val="22"/>
        </w:rPr>
        <w:t>4. Schlusszeichnung</w:t>
      </w:r>
    </w:p>
    <w:p w14:paraId="1FDD1C97" w14:textId="77777777" w:rsidR="006B3436" w:rsidRDefault="006B3436" w:rsidP="00060DA7">
      <w:pPr>
        <w:spacing w:before="120"/>
        <w:jc w:val="both"/>
        <w:rPr>
          <w:rFonts w:ascii="Arial" w:hAnsi="Arial" w:cs="Arial"/>
          <w:b/>
          <w:sz w:val="22"/>
          <w:szCs w:val="22"/>
        </w:rPr>
      </w:pPr>
    </w:p>
    <w:p w14:paraId="009E9C47" w14:textId="77777777" w:rsidR="006B3436" w:rsidRDefault="006B3436" w:rsidP="00060DA7">
      <w:pPr>
        <w:spacing w:before="120"/>
        <w:jc w:val="both"/>
        <w:rPr>
          <w:rFonts w:ascii="Arial" w:hAnsi="Arial" w:cs="Arial"/>
          <w:b/>
          <w:sz w:val="22"/>
          <w:szCs w:val="22"/>
        </w:rPr>
      </w:pPr>
    </w:p>
    <w:p w14:paraId="5FDE104E" w14:textId="77777777" w:rsidR="006B3436" w:rsidRDefault="006B3436" w:rsidP="00060DA7">
      <w:pPr>
        <w:spacing w:before="120"/>
        <w:jc w:val="both"/>
        <w:rPr>
          <w:rFonts w:ascii="Arial" w:hAnsi="Arial" w:cs="Arial"/>
          <w:b/>
          <w:sz w:val="22"/>
          <w:szCs w:val="22"/>
        </w:rPr>
      </w:pPr>
      <w:r>
        <w:rPr>
          <w:rFonts w:ascii="Arial" w:hAnsi="Arial" w:cs="Arial"/>
          <w:b/>
          <w:sz w:val="22"/>
          <w:szCs w:val="22"/>
        </w:rPr>
        <w:t>Ort, den</w:t>
      </w:r>
    </w:p>
    <w:p w14:paraId="6524693C" w14:textId="77777777" w:rsidR="006B3436" w:rsidRDefault="006B3436" w:rsidP="00060DA7">
      <w:pPr>
        <w:spacing w:before="120"/>
        <w:jc w:val="both"/>
        <w:rPr>
          <w:rFonts w:ascii="Arial" w:hAnsi="Arial" w:cs="Arial"/>
          <w:b/>
          <w:sz w:val="22"/>
          <w:szCs w:val="22"/>
        </w:rPr>
      </w:pPr>
    </w:p>
    <w:p w14:paraId="40E6137D" w14:textId="77777777" w:rsidR="006B3436" w:rsidRDefault="006B3436" w:rsidP="00060DA7">
      <w:pPr>
        <w:spacing w:before="120"/>
        <w:jc w:val="both"/>
        <w:rPr>
          <w:rFonts w:ascii="Arial" w:hAnsi="Arial" w:cs="Arial"/>
          <w:b/>
          <w:sz w:val="22"/>
          <w:szCs w:val="22"/>
        </w:rPr>
      </w:pPr>
    </w:p>
    <w:p w14:paraId="55868371" w14:textId="77777777" w:rsidR="006B3436" w:rsidRDefault="006B3436" w:rsidP="00060DA7">
      <w:pPr>
        <w:spacing w:before="120"/>
        <w:jc w:val="both"/>
        <w:rPr>
          <w:rFonts w:ascii="Arial" w:hAnsi="Arial" w:cs="Arial"/>
          <w:b/>
          <w:sz w:val="22"/>
          <w:szCs w:val="22"/>
        </w:rPr>
      </w:pPr>
    </w:p>
    <w:p w14:paraId="246D6882" w14:textId="77777777" w:rsidR="006B3436" w:rsidRDefault="006B3436" w:rsidP="00060DA7">
      <w:pPr>
        <w:spacing w:before="120"/>
        <w:jc w:val="both"/>
        <w:rPr>
          <w:rFonts w:ascii="Arial" w:hAnsi="Arial" w:cs="Arial"/>
          <w:b/>
          <w:sz w:val="22"/>
          <w:szCs w:val="22"/>
        </w:rPr>
      </w:pPr>
      <w:r>
        <w:rPr>
          <w:rFonts w:ascii="Arial" w:hAnsi="Arial" w:cs="Arial"/>
          <w:b/>
          <w:sz w:val="22"/>
          <w:szCs w:val="22"/>
        </w:rPr>
        <w:t>________________</w:t>
      </w:r>
    </w:p>
    <w:p w14:paraId="144F10A1" w14:textId="77777777" w:rsidR="006B3436" w:rsidRDefault="006B3436" w:rsidP="00060DA7">
      <w:pPr>
        <w:spacing w:before="120"/>
        <w:jc w:val="both"/>
        <w:rPr>
          <w:rFonts w:ascii="Arial" w:hAnsi="Arial" w:cs="Arial"/>
          <w:b/>
          <w:sz w:val="22"/>
          <w:szCs w:val="22"/>
        </w:rPr>
      </w:pPr>
      <w:r>
        <w:rPr>
          <w:rFonts w:ascii="Arial" w:hAnsi="Arial" w:cs="Arial"/>
          <w:b/>
          <w:sz w:val="22"/>
          <w:szCs w:val="22"/>
        </w:rPr>
        <w:t>Verantwortliche Stelle oder bevollmächtigter Vertreter</w:t>
      </w:r>
    </w:p>
    <w:p w14:paraId="383DBC51" w14:textId="77777777" w:rsidR="006B3436" w:rsidRDefault="006B3436" w:rsidP="00060DA7">
      <w:pPr>
        <w:spacing w:before="120"/>
        <w:jc w:val="both"/>
        <w:rPr>
          <w:rFonts w:ascii="Arial" w:hAnsi="Arial" w:cs="Arial"/>
          <w:b/>
          <w:sz w:val="22"/>
          <w:szCs w:val="22"/>
        </w:rPr>
      </w:pPr>
    </w:p>
    <w:p w14:paraId="336E425F" w14:textId="77777777" w:rsidR="006B3436" w:rsidRPr="005D6CA1" w:rsidRDefault="006B3436" w:rsidP="00060DA7">
      <w:pPr>
        <w:spacing w:before="120"/>
        <w:jc w:val="both"/>
        <w:rPr>
          <w:rFonts w:ascii="Arial" w:hAnsi="Arial" w:cs="Arial"/>
          <w:b/>
          <w:sz w:val="22"/>
          <w:szCs w:val="22"/>
        </w:rPr>
      </w:pPr>
      <w:r>
        <w:rPr>
          <w:rFonts w:ascii="Arial" w:hAnsi="Arial" w:cs="Arial"/>
          <w:b/>
          <w:sz w:val="22"/>
          <w:szCs w:val="22"/>
        </w:rPr>
        <w:t>5. Kopie an den bDSB zur Kenntnis</w:t>
      </w:r>
    </w:p>
    <w:sectPr w:rsidR="006B3436" w:rsidRPr="005D6CA1">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36DF26" w14:textId="77777777" w:rsidR="00F01D2C" w:rsidRDefault="00F01D2C">
      <w:r>
        <w:separator/>
      </w:r>
    </w:p>
  </w:endnote>
  <w:endnote w:type="continuationSeparator" w:id="0">
    <w:p w14:paraId="382AB6E1" w14:textId="77777777" w:rsidR="00F01D2C" w:rsidRDefault="00F01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3FB03" w14:textId="77777777" w:rsidR="00A951CA" w:rsidRDefault="00A951CA">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91834D" w14:textId="77777777" w:rsidR="007B7B73" w:rsidRPr="00165B4D" w:rsidRDefault="007B7B73" w:rsidP="00165B4D">
    <w:pPr>
      <w:pStyle w:val="Fuzeile"/>
      <w:jc w:val="center"/>
      <w:rPr>
        <w:rFonts w:ascii="Arial" w:hAnsi="Arial" w:cs="Arial"/>
      </w:rPr>
    </w:pP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9D5BB2">
      <w:rPr>
        <w:rFonts w:ascii="Arial" w:hAnsi="Arial" w:cs="Arial"/>
        <w:noProof/>
      </w:rPr>
      <w:t>1</w:t>
    </w:r>
    <w:r>
      <w:rPr>
        <w:rFonts w:ascii="Arial" w:hAnsi="Arial" w:cs="Arial"/>
      </w:rPr>
      <w:fldChar w:fldCharType="end"/>
    </w:r>
    <w:r>
      <w:rPr>
        <w:rFonts w:ascii="Arial" w:hAnsi="Arial" w:cs="Arial"/>
      </w:rPr>
      <w:t xml:space="preserve"> (</w:t>
    </w:r>
    <w:r>
      <w:rPr>
        <w:rFonts w:ascii="Arial" w:hAnsi="Arial" w:cs="Arial"/>
      </w:rPr>
      <w:fldChar w:fldCharType="begin"/>
    </w:r>
    <w:r>
      <w:rPr>
        <w:rFonts w:ascii="Arial" w:hAnsi="Arial" w:cs="Arial"/>
      </w:rPr>
      <w:instrText xml:space="preserve"> NUMPAGES   \* MERGEFORMAT </w:instrText>
    </w:r>
    <w:r>
      <w:rPr>
        <w:rFonts w:ascii="Arial" w:hAnsi="Arial" w:cs="Arial"/>
      </w:rPr>
      <w:fldChar w:fldCharType="separate"/>
    </w:r>
    <w:r w:rsidR="009D5BB2">
      <w:rPr>
        <w:rFonts w:ascii="Arial" w:hAnsi="Arial" w:cs="Arial"/>
        <w:noProof/>
      </w:rPr>
      <w:t>4</w:t>
    </w:r>
    <w:r>
      <w:rPr>
        <w:rFonts w:ascii="Arial" w:hAnsi="Arial" w:cs="Arial"/>
      </w:rPr>
      <w:fldChar w:fldCharType="end"/>
    </w:r>
    <w:r>
      <w:rPr>
        <w:rFonts w:ascii="Arial" w:hAnsi="Arial" w:cs="Arial"/>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AAF786" w14:textId="77777777" w:rsidR="00A951CA" w:rsidRDefault="00A951C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F2C582" w14:textId="77777777" w:rsidR="00F01D2C" w:rsidRDefault="00F01D2C">
      <w:r>
        <w:separator/>
      </w:r>
    </w:p>
  </w:footnote>
  <w:footnote w:type="continuationSeparator" w:id="0">
    <w:p w14:paraId="64FAEF02" w14:textId="77777777" w:rsidR="00F01D2C" w:rsidRDefault="00F01D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EFCFD" w14:textId="77777777" w:rsidR="00A951CA" w:rsidRDefault="00F01D2C">
    <w:pPr>
      <w:pStyle w:val="Kopfzeile"/>
    </w:pPr>
    <w:r>
      <w:rPr>
        <w:noProof/>
      </w:rPr>
      <w:pict w14:anchorId="7BACFE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88272" o:spid="_x0000_s2050" type="#_x0000_t136" style="position:absolute;margin-left:0;margin-top:0;width:511.6pt;height:127.9pt;rotation:315;z-index:-251655168;mso-position-horizontal:center;mso-position-horizontal-relative:margin;mso-position-vertical:center;mso-position-vertical-relative:margin" o:allowincell="f" fillcolor="#bfbfbf [2412]" stroked="f">
          <v:fill opacity=".5"/>
          <v:textpath style="font-family:&quot;Arial&quot;;font-size:1pt" string="Muster "/>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EE2B63" w14:textId="77777777" w:rsidR="00A951CA" w:rsidRDefault="00F01D2C">
    <w:pPr>
      <w:pStyle w:val="Kopfzeile"/>
    </w:pPr>
    <w:r>
      <w:rPr>
        <w:noProof/>
      </w:rPr>
      <w:pict w14:anchorId="36B92A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88273" o:spid="_x0000_s2051" type="#_x0000_t136" style="position:absolute;margin-left:0;margin-top:0;width:511.6pt;height:127.9pt;rotation:315;z-index:-251653120;mso-position-horizontal:center;mso-position-horizontal-relative:margin;mso-position-vertical:center;mso-position-vertical-relative:margin" o:allowincell="f" fillcolor="#bfbfbf [2412]" stroked="f">
          <v:fill opacity=".5"/>
          <v:textpath style="font-family:&quot;Arial&quot;;font-size:1pt" string="Muster "/>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2115B4" w14:textId="77777777" w:rsidR="00A951CA" w:rsidRDefault="00F01D2C">
    <w:pPr>
      <w:pStyle w:val="Kopfzeile"/>
    </w:pPr>
    <w:r>
      <w:rPr>
        <w:noProof/>
      </w:rPr>
      <w:pict w14:anchorId="78991F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88271" o:spid="_x0000_s2049" type="#_x0000_t136" style="position:absolute;margin-left:0;margin-top:0;width:511.6pt;height:127.9pt;rotation:315;z-index:-251657216;mso-position-horizontal:center;mso-position-horizontal-relative:margin;mso-position-vertical:center;mso-position-vertical-relative:margin" o:allowincell="f" fillcolor="#bfbfbf [2412]" stroked="f">
          <v:fill opacity=".5"/>
          <v:textpath style="font-family:&quot;Arial&quot;;font-size:1pt" string="Muster "/>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2F25A8"/>
    <w:multiLevelType w:val="hybridMultilevel"/>
    <w:tmpl w:val="5AA012E0"/>
    <w:lvl w:ilvl="0" w:tplc="DD7EBBF0">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74C90DC6"/>
    <w:multiLevelType w:val="hybridMultilevel"/>
    <w:tmpl w:val="BE509CB0"/>
    <w:lvl w:ilvl="0" w:tplc="9C828F08">
      <w:start w:val="1"/>
      <w:numFmt w:val="upperRoman"/>
      <w:lvlText w:val="%1."/>
      <w:lvlJc w:val="left"/>
      <w:pPr>
        <w:tabs>
          <w:tab w:val="num" w:pos="294"/>
        </w:tabs>
        <w:ind w:left="294" w:hanging="720"/>
      </w:pPr>
      <w:rPr>
        <w:rFonts w:hint="default"/>
      </w:rPr>
    </w:lvl>
    <w:lvl w:ilvl="1" w:tplc="79AE897C">
      <w:start w:val="2"/>
      <w:numFmt w:val="upperRoman"/>
      <w:lvlText w:val="%2."/>
      <w:lvlJc w:val="right"/>
      <w:pPr>
        <w:tabs>
          <w:tab w:val="num" w:pos="474"/>
        </w:tabs>
        <w:ind w:left="474" w:hanging="180"/>
      </w:pPr>
      <w:rPr>
        <w:rFonts w:hint="default"/>
      </w:rPr>
    </w:lvl>
    <w:lvl w:ilvl="2" w:tplc="0407001B" w:tentative="1">
      <w:start w:val="1"/>
      <w:numFmt w:val="lowerRoman"/>
      <w:lvlText w:val="%3."/>
      <w:lvlJc w:val="right"/>
      <w:pPr>
        <w:tabs>
          <w:tab w:val="num" w:pos="1374"/>
        </w:tabs>
        <w:ind w:left="1374" w:hanging="180"/>
      </w:pPr>
    </w:lvl>
    <w:lvl w:ilvl="3" w:tplc="0407000F" w:tentative="1">
      <w:start w:val="1"/>
      <w:numFmt w:val="decimal"/>
      <w:lvlText w:val="%4."/>
      <w:lvlJc w:val="left"/>
      <w:pPr>
        <w:tabs>
          <w:tab w:val="num" w:pos="2094"/>
        </w:tabs>
        <w:ind w:left="2094" w:hanging="360"/>
      </w:pPr>
    </w:lvl>
    <w:lvl w:ilvl="4" w:tplc="04070019" w:tentative="1">
      <w:start w:val="1"/>
      <w:numFmt w:val="lowerLetter"/>
      <w:lvlText w:val="%5."/>
      <w:lvlJc w:val="left"/>
      <w:pPr>
        <w:tabs>
          <w:tab w:val="num" w:pos="2814"/>
        </w:tabs>
        <w:ind w:left="2814" w:hanging="360"/>
      </w:pPr>
    </w:lvl>
    <w:lvl w:ilvl="5" w:tplc="0407001B" w:tentative="1">
      <w:start w:val="1"/>
      <w:numFmt w:val="lowerRoman"/>
      <w:lvlText w:val="%6."/>
      <w:lvlJc w:val="right"/>
      <w:pPr>
        <w:tabs>
          <w:tab w:val="num" w:pos="3534"/>
        </w:tabs>
        <w:ind w:left="3534" w:hanging="180"/>
      </w:pPr>
    </w:lvl>
    <w:lvl w:ilvl="6" w:tplc="0407000F" w:tentative="1">
      <w:start w:val="1"/>
      <w:numFmt w:val="decimal"/>
      <w:lvlText w:val="%7."/>
      <w:lvlJc w:val="left"/>
      <w:pPr>
        <w:tabs>
          <w:tab w:val="num" w:pos="4254"/>
        </w:tabs>
        <w:ind w:left="4254" w:hanging="360"/>
      </w:pPr>
    </w:lvl>
    <w:lvl w:ilvl="7" w:tplc="04070019" w:tentative="1">
      <w:start w:val="1"/>
      <w:numFmt w:val="lowerLetter"/>
      <w:lvlText w:val="%8."/>
      <w:lvlJc w:val="left"/>
      <w:pPr>
        <w:tabs>
          <w:tab w:val="num" w:pos="4974"/>
        </w:tabs>
        <w:ind w:left="4974" w:hanging="360"/>
      </w:pPr>
    </w:lvl>
    <w:lvl w:ilvl="8" w:tplc="0407001B" w:tentative="1">
      <w:start w:val="1"/>
      <w:numFmt w:val="lowerRoman"/>
      <w:lvlText w:val="%9."/>
      <w:lvlJc w:val="right"/>
      <w:pPr>
        <w:tabs>
          <w:tab w:val="num" w:pos="5694"/>
        </w:tabs>
        <w:ind w:left="569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VisFieldsDocOptions" w:val="0"/>
    <w:docVar w:name="VisFieldsUpdateState" w:val="0"/>
    <w:docVar w:name="VisNew" w:val="0"/>
  </w:docVars>
  <w:rsids>
    <w:rsidRoot w:val="004977B5"/>
    <w:rsid w:val="000064D0"/>
    <w:rsid w:val="0000692B"/>
    <w:rsid w:val="00022654"/>
    <w:rsid w:val="000568FC"/>
    <w:rsid w:val="00060DA7"/>
    <w:rsid w:val="000708ED"/>
    <w:rsid w:val="000B1349"/>
    <w:rsid w:val="000D02AE"/>
    <w:rsid w:val="000E6953"/>
    <w:rsid w:val="000E77FF"/>
    <w:rsid w:val="00106106"/>
    <w:rsid w:val="001071F2"/>
    <w:rsid w:val="00144F07"/>
    <w:rsid w:val="001668E6"/>
    <w:rsid w:val="001A4BCA"/>
    <w:rsid w:val="001E5599"/>
    <w:rsid w:val="00233B48"/>
    <w:rsid w:val="0026077C"/>
    <w:rsid w:val="0026489E"/>
    <w:rsid w:val="002C2ECC"/>
    <w:rsid w:val="002C5A14"/>
    <w:rsid w:val="002D40A9"/>
    <w:rsid w:val="00301391"/>
    <w:rsid w:val="00351BBF"/>
    <w:rsid w:val="003A79E5"/>
    <w:rsid w:val="003C43AD"/>
    <w:rsid w:val="003C4E34"/>
    <w:rsid w:val="003D5E78"/>
    <w:rsid w:val="00422DCB"/>
    <w:rsid w:val="0046174A"/>
    <w:rsid w:val="00486990"/>
    <w:rsid w:val="00486A2B"/>
    <w:rsid w:val="004977B5"/>
    <w:rsid w:val="004A0718"/>
    <w:rsid w:val="004E44BE"/>
    <w:rsid w:val="004F0583"/>
    <w:rsid w:val="005153ED"/>
    <w:rsid w:val="005215B6"/>
    <w:rsid w:val="005713BA"/>
    <w:rsid w:val="00584AF5"/>
    <w:rsid w:val="005A0E2A"/>
    <w:rsid w:val="005B1E6A"/>
    <w:rsid w:val="005D6CA1"/>
    <w:rsid w:val="006641D5"/>
    <w:rsid w:val="0066470F"/>
    <w:rsid w:val="00697628"/>
    <w:rsid w:val="006B3436"/>
    <w:rsid w:val="006D1781"/>
    <w:rsid w:val="006D35F3"/>
    <w:rsid w:val="006F5EDC"/>
    <w:rsid w:val="006F71C6"/>
    <w:rsid w:val="00705851"/>
    <w:rsid w:val="00711F1E"/>
    <w:rsid w:val="00725776"/>
    <w:rsid w:val="007268F9"/>
    <w:rsid w:val="00744B63"/>
    <w:rsid w:val="007547DE"/>
    <w:rsid w:val="007722C6"/>
    <w:rsid w:val="007B2AC5"/>
    <w:rsid w:val="007B7B73"/>
    <w:rsid w:val="007F61BD"/>
    <w:rsid w:val="007F7209"/>
    <w:rsid w:val="00801A2F"/>
    <w:rsid w:val="00853296"/>
    <w:rsid w:val="008562CC"/>
    <w:rsid w:val="0086193B"/>
    <w:rsid w:val="00862D19"/>
    <w:rsid w:val="00882BCC"/>
    <w:rsid w:val="008A156E"/>
    <w:rsid w:val="008A21D3"/>
    <w:rsid w:val="008B3AD2"/>
    <w:rsid w:val="008E318A"/>
    <w:rsid w:val="00902C73"/>
    <w:rsid w:val="0093108B"/>
    <w:rsid w:val="0093544E"/>
    <w:rsid w:val="00940520"/>
    <w:rsid w:val="009634FE"/>
    <w:rsid w:val="00997A4F"/>
    <w:rsid w:val="009A198E"/>
    <w:rsid w:val="009B6AC0"/>
    <w:rsid w:val="009B6C60"/>
    <w:rsid w:val="009B733D"/>
    <w:rsid w:val="009C779B"/>
    <w:rsid w:val="009D5BB2"/>
    <w:rsid w:val="00A41780"/>
    <w:rsid w:val="00A5201C"/>
    <w:rsid w:val="00A64B10"/>
    <w:rsid w:val="00A951CA"/>
    <w:rsid w:val="00AC1CF9"/>
    <w:rsid w:val="00B134A5"/>
    <w:rsid w:val="00B708E4"/>
    <w:rsid w:val="00B770BE"/>
    <w:rsid w:val="00B92AAD"/>
    <w:rsid w:val="00BC0B3F"/>
    <w:rsid w:val="00BC3515"/>
    <w:rsid w:val="00C0103C"/>
    <w:rsid w:val="00C047A6"/>
    <w:rsid w:val="00C1689F"/>
    <w:rsid w:val="00C17ACB"/>
    <w:rsid w:val="00C27D3B"/>
    <w:rsid w:val="00C33A8B"/>
    <w:rsid w:val="00C344E1"/>
    <w:rsid w:val="00C378E4"/>
    <w:rsid w:val="00C52752"/>
    <w:rsid w:val="00C60E88"/>
    <w:rsid w:val="00CA1F96"/>
    <w:rsid w:val="00CA7871"/>
    <w:rsid w:val="00CA7AFA"/>
    <w:rsid w:val="00CC5780"/>
    <w:rsid w:val="00D2225F"/>
    <w:rsid w:val="00D31539"/>
    <w:rsid w:val="00D63F86"/>
    <w:rsid w:val="00D66FD8"/>
    <w:rsid w:val="00DC5972"/>
    <w:rsid w:val="00DF761C"/>
    <w:rsid w:val="00E00903"/>
    <w:rsid w:val="00E41FCC"/>
    <w:rsid w:val="00E460F4"/>
    <w:rsid w:val="00E834B2"/>
    <w:rsid w:val="00E97880"/>
    <w:rsid w:val="00EA4116"/>
    <w:rsid w:val="00EB32D7"/>
    <w:rsid w:val="00F01D2C"/>
    <w:rsid w:val="00F47781"/>
    <w:rsid w:val="00FA330C"/>
    <w:rsid w:val="00FD1360"/>
    <w:rsid w:val="00FD26F2"/>
    <w:rsid w:val="00FF45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06C3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C344E1"/>
    <w:pPr>
      <w:tabs>
        <w:tab w:val="center" w:pos="4536"/>
        <w:tab w:val="right" w:pos="9072"/>
      </w:tabs>
    </w:pPr>
  </w:style>
  <w:style w:type="paragraph" w:styleId="Fuzeile">
    <w:name w:val="footer"/>
    <w:basedOn w:val="Standard"/>
    <w:link w:val="FuzeileZchn"/>
    <w:rsid w:val="00C344E1"/>
    <w:pPr>
      <w:tabs>
        <w:tab w:val="center" w:pos="4536"/>
        <w:tab w:val="right" w:pos="9072"/>
      </w:tabs>
    </w:pPr>
  </w:style>
  <w:style w:type="character" w:customStyle="1" w:styleId="FuzeileZchn">
    <w:name w:val="Fußzeile Zchn"/>
    <w:basedOn w:val="Absatz-Standardschriftart"/>
    <w:link w:val="Fuzeile"/>
    <w:rsid w:val="007B7B73"/>
  </w:style>
  <w:style w:type="table" w:styleId="Tabellenraster">
    <w:name w:val="Table Grid"/>
    <w:basedOn w:val="NormaleTabelle"/>
    <w:uiPriority w:val="59"/>
    <w:rsid w:val="00C52752"/>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semiHidden/>
    <w:unhideWhenUsed/>
    <w:rsid w:val="00C52752"/>
    <w:rPr>
      <w:sz w:val="16"/>
      <w:szCs w:val="16"/>
    </w:rPr>
  </w:style>
  <w:style w:type="paragraph" w:styleId="Kommentartext">
    <w:name w:val="annotation text"/>
    <w:basedOn w:val="Standard"/>
    <w:link w:val="KommentartextZchn"/>
    <w:semiHidden/>
    <w:unhideWhenUsed/>
    <w:rsid w:val="00C52752"/>
  </w:style>
  <w:style w:type="character" w:customStyle="1" w:styleId="KommentartextZchn">
    <w:name w:val="Kommentartext Zchn"/>
    <w:basedOn w:val="Absatz-Standardschriftart"/>
    <w:link w:val="Kommentartext"/>
    <w:semiHidden/>
    <w:rsid w:val="00C52752"/>
  </w:style>
  <w:style w:type="paragraph" w:styleId="Kommentarthema">
    <w:name w:val="annotation subject"/>
    <w:basedOn w:val="Kommentartext"/>
    <w:next w:val="Kommentartext"/>
    <w:link w:val="KommentarthemaZchn"/>
    <w:semiHidden/>
    <w:unhideWhenUsed/>
    <w:rsid w:val="00C52752"/>
    <w:rPr>
      <w:b/>
      <w:bCs/>
    </w:rPr>
  </w:style>
  <w:style w:type="character" w:customStyle="1" w:styleId="KommentarthemaZchn">
    <w:name w:val="Kommentarthema Zchn"/>
    <w:basedOn w:val="KommentartextZchn"/>
    <w:link w:val="Kommentarthema"/>
    <w:semiHidden/>
    <w:rsid w:val="00C52752"/>
    <w:rPr>
      <w:b/>
      <w:bCs/>
    </w:rPr>
  </w:style>
  <w:style w:type="paragraph" w:styleId="Sprechblasentext">
    <w:name w:val="Balloon Text"/>
    <w:basedOn w:val="Standard"/>
    <w:link w:val="SprechblasentextZchn"/>
    <w:semiHidden/>
    <w:unhideWhenUsed/>
    <w:rsid w:val="00C52752"/>
    <w:rPr>
      <w:rFonts w:ascii="Tahoma" w:hAnsi="Tahoma" w:cs="Tahoma"/>
      <w:sz w:val="16"/>
      <w:szCs w:val="16"/>
    </w:rPr>
  </w:style>
  <w:style w:type="character" w:customStyle="1" w:styleId="SprechblasentextZchn">
    <w:name w:val="Sprechblasentext Zchn"/>
    <w:basedOn w:val="Absatz-Standardschriftart"/>
    <w:link w:val="Sprechblasentext"/>
    <w:semiHidden/>
    <w:rsid w:val="00C52752"/>
    <w:rPr>
      <w:rFonts w:ascii="Tahoma" w:hAnsi="Tahoma" w:cs="Tahoma"/>
      <w:sz w:val="16"/>
      <w:szCs w:val="16"/>
    </w:rPr>
  </w:style>
  <w:style w:type="paragraph" w:styleId="Listenabsatz">
    <w:name w:val="List Paragraph"/>
    <w:basedOn w:val="Standard"/>
    <w:uiPriority w:val="34"/>
    <w:qFormat/>
    <w:rsid w:val="008A21D3"/>
    <w:pPr>
      <w:ind w:left="720"/>
      <w:contextualSpacing/>
    </w:pPr>
  </w:style>
  <w:style w:type="paragraph" w:styleId="Funotentext">
    <w:name w:val="footnote text"/>
    <w:basedOn w:val="Standard"/>
    <w:link w:val="FunotentextZchn"/>
    <w:semiHidden/>
    <w:unhideWhenUsed/>
    <w:rsid w:val="00FF45B0"/>
  </w:style>
  <w:style w:type="character" w:customStyle="1" w:styleId="FunotentextZchn">
    <w:name w:val="Fußnotentext Zchn"/>
    <w:basedOn w:val="Absatz-Standardschriftart"/>
    <w:link w:val="Funotentext"/>
    <w:semiHidden/>
    <w:rsid w:val="00FF45B0"/>
  </w:style>
  <w:style w:type="character" w:styleId="Funotenzeichen">
    <w:name w:val="footnote reference"/>
    <w:basedOn w:val="Absatz-Standardschriftart"/>
    <w:semiHidden/>
    <w:unhideWhenUsed/>
    <w:rsid w:val="00FF45B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C344E1"/>
    <w:pPr>
      <w:tabs>
        <w:tab w:val="center" w:pos="4536"/>
        <w:tab w:val="right" w:pos="9072"/>
      </w:tabs>
    </w:pPr>
  </w:style>
  <w:style w:type="paragraph" w:styleId="Fuzeile">
    <w:name w:val="footer"/>
    <w:basedOn w:val="Standard"/>
    <w:link w:val="FuzeileZchn"/>
    <w:rsid w:val="00C344E1"/>
    <w:pPr>
      <w:tabs>
        <w:tab w:val="center" w:pos="4536"/>
        <w:tab w:val="right" w:pos="9072"/>
      </w:tabs>
    </w:pPr>
  </w:style>
  <w:style w:type="character" w:customStyle="1" w:styleId="FuzeileZchn">
    <w:name w:val="Fußzeile Zchn"/>
    <w:basedOn w:val="Absatz-Standardschriftart"/>
    <w:link w:val="Fuzeile"/>
    <w:rsid w:val="007B7B73"/>
  </w:style>
  <w:style w:type="table" w:styleId="Tabellenraster">
    <w:name w:val="Table Grid"/>
    <w:basedOn w:val="NormaleTabelle"/>
    <w:uiPriority w:val="59"/>
    <w:rsid w:val="00C52752"/>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semiHidden/>
    <w:unhideWhenUsed/>
    <w:rsid w:val="00C52752"/>
    <w:rPr>
      <w:sz w:val="16"/>
      <w:szCs w:val="16"/>
    </w:rPr>
  </w:style>
  <w:style w:type="paragraph" w:styleId="Kommentartext">
    <w:name w:val="annotation text"/>
    <w:basedOn w:val="Standard"/>
    <w:link w:val="KommentartextZchn"/>
    <w:semiHidden/>
    <w:unhideWhenUsed/>
    <w:rsid w:val="00C52752"/>
  </w:style>
  <w:style w:type="character" w:customStyle="1" w:styleId="KommentartextZchn">
    <w:name w:val="Kommentartext Zchn"/>
    <w:basedOn w:val="Absatz-Standardschriftart"/>
    <w:link w:val="Kommentartext"/>
    <w:semiHidden/>
    <w:rsid w:val="00C52752"/>
  </w:style>
  <w:style w:type="paragraph" w:styleId="Kommentarthema">
    <w:name w:val="annotation subject"/>
    <w:basedOn w:val="Kommentartext"/>
    <w:next w:val="Kommentartext"/>
    <w:link w:val="KommentarthemaZchn"/>
    <w:semiHidden/>
    <w:unhideWhenUsed/>
    <w:rsid w:val="00C52752"/>
    <w:rPr>
      <w:b/>
      <w:bCs/>
    </w:rPr>
  </w:style>
  <w:style w:type="character" w:customStyle="1" w:styleId="KommentarthemaZchn">
    <w:name w:val="Kommentarthema Zchn"/>
    <w:basedOn w:val="KommentartextZchn"/>
    <w:link w:val="Kommentarthema"/>
    <w:semiHidden/>
    <w:rsid w:val="00C52752"/>
    <w:rPr>
      <w:b/>
      <w:bCs/>
    </w:rPr>
  </w:style>
  <w:style w:type="paragraph" w:styleId="Sprechblasentext">
    <w:name w:val="Balloon Text"/>
    <w:basedOn w:val="Standard"/>
    <w:link w:val="SprechblasentextZchn"/>
    <w:semiHidden/>
    <w:unhideWhenUsed/>
    <w:rsid w:val="00C52752"/>
    <w:rPr>
      <w:rFonts w:ascii="Tahoma" w:hAnsi="Tahoma" w:cs="Tahoma"/>
      <w:sz w:val="16"/>
      <w:szCs w:val="16"/>
    </w:rPr>
  </w:style>
  <w:style w:type="character" w:customStyle="1" w:styleId="SprechblasentextZchn">
    <w:name w:val="Sprechblasentext Zchn"/>
    <w:basedOn w:val="Absatz-Standardschriftart"/>
    <w:link w:val="Sprechblasentext"/>
    <w:semiHidden/>
    <w:rsid w:val="00C52752"/>
    <w:rPr>
      <w:rFonts w:ascii="Tahoma" w:hAnsi="Tahoma" w:cs="Tahoma"/>
      <w:sz w:val="16"/>
      <w:szCs w:val="16"/>
    </w:rPr>
  </w:style>
  <w:style w:type="paragraph" w:styleId="Listenabsatz">
    <w:name w:val="List Paragraph"/>
    <w:basedOn w:val="Standard"/>
    <w:uiPriority w:val="34"/>
    <w:qFormat/>
    <w:rsid w:val="008A21D3"/>
    <w:pPr>
      <w:ind w:left="720"/>
      <w:contextualSpacing/>
    </w:pPr>
  </w:style>
  <w:style w:type="paragraph" w:styleId="Funotentext">
    <w:name w:val="footnote text"/>
    <w:basedOn w:val="Standard"/>
    <w:link w:val="FunotentextZchn"/>
    <w:semiHidden/>
    <w:unhideWhenUsed/>
    <w:rsid w:val="00FF45B0"/>
  </w:style>
  <w:style w:type="character" w:customStyle="1" w:styleId="FunotentextZchn">
    <w:name w:val="Fußnotentext Zchn"/>
    <w:basedOn w:val="Absatz-Standardschriftart"/>
    <w:link w:val="Funotentext"/>
    <w:semiHidden/>
    <w:rsid w:val="00FF45B0"/>
  </w:style>
  <w:style w:type="character" w:styleId="Funotenzeichen">
    <w:name w:val="footnote reference"/>
    <w:basedOn w:val="Absatz-Standardschriftart"/>
    <w:semiHidden/>
    <w:unhideWhenUsed/>
    <w:rsid w:val="00FF45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lau\Anwendungsdaten\Microsoft\Vorlagen\Vermerk%20Ref%201.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3854E-C52C-42BF-9E42-7A9E47127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Vermerk Ref 1.dot</Template>
  <TotalTime>0</TotalTime>
  <Pages>4</Pages>
  <Words>1460</Words>
  <Characters>9203</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TLfDI, Vermerk</vt:lpstr>
    </vt:vector>
  </TitlesOfParts>
  <Company>Erfurt</Company>
  <LinksUpToDate>false</LinksUpToDate>
  <CharactersWithSpaces>10642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TLfDI, Vermerk</dc:title>
  <dc:creator>Lau;Sto;Hil;Lib</dc:creator>
  <cp:lastModifiedBy>M2.21</cp:lastModifiedBy>
  <cp:revision>2</cp:revision>
  <cp:lastPrinted>2018-03-27T06:37:00Z</cp:lastPrinted>
  <dcterms:created xsi:type="dcterms:W3CDTF">2018-11-23T11:40:00Z</dcterms:created>
  <dcterms:modified xsi:type="dcterms:W3CDTF">2018-11-23T11:40:00Z</dcterms:modified>
</cp:coreProperties>
</file>